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6558A" w14:textId="77777777" w:rsidR="00934699" w:rsidRDefault="00934699" w:rsidP="00972093">
      <w:bookmarkStart w:id="0" w:name="_Hlk521945910"/>
    </w:p>
    <w:p w14:paraId="0EA6558B" w14:textId="77777777" w:rsidR="00934699" w:rsidRDefault="00934699" w:rsidP="00972093"/>
    <w:p w14:paraId="0EA6558C" w14:textId="77777777" w:rsidR="009D7060" w:rsidRDefault="009D7060" w:rsidP="00972093">
      <w:r>
        <w:t>DPC/G3.1</w:t>
      </w:r>
    </w:p>
    <w:p w14:paraId="0EA6558D" w14:textId="77777777" w:rsidR="009D7060" w:rsidRPr="00E76DA9" w:rsidRDefault="009D7060" w:rsidP="00972093">
      <w:r>
        <w:t>ACROSS GOVERNMENT POLICY</w:t>
      </w:r>
    </w:p>
    <w:p w14:paraId="0EA6558E" w14:textId="77777777" w:rsidR="009D7060" w:rsidRPr="007F0198" w:rsidRDefault="009D7060" w:rsidP="009D7060">
      <w:pPr>
        <w:pStyle w:val="Title"/>
      </w:pPr>
      <w:r>
        <w:t>Cloud Services Information Sheet</w:t>
      </w:r>
    </w:p>
    <w:bookmarkEnd w:id="0"/>
    <w:p w14:paraId="0EA6558F" w14:textId="77777777" w:rsidR="009D7060" w:rsidRPr="008A0B33" w:rsidRDefault="009D7060" w:rsidP="00A869E6">
      <w:pPr>
        <w:pStyle w:val="Heading1"/>
      </w:pPr>
      <w:r>
        <w:t>Introduction</w:t>
      </w:r>
    </w:p>
    <w:p w14:paraId="0EA65590" w14:textId="77777777" w:rsidR="009D7060" w:rsidRPr="00F20675" w:rsidRDefault="009D7060" w:rsidP="009D7060">
      <w:pPr>
        <w:pStyle w:val="-Normal-"/>
        <w:rPr>
          <w:lang w:val="en-US"/>
        </w:rPr>
      </w:pPr>
      <w:r w:rsidRPr="00F20675">
        <w:rPr>
          <w:lang w:val="en-US"/>
        </w:rPr>
        <w:t xml:space="preserve">Cloud services present many opportunities, including the potential to reduce </w:t>
      </w:r>
      <w:r>
        <w:rPr>
          <w:lang w:val="en-US"/>
        </w:rPr>
        <w:t xml:space="preserve">electronic storage and internal ICT </w:t>
      </w:r>
      <w:r w:rsidRPr="00F20675">
        <w:rPr>
          <w:lang w:val="en-US"/>
        </w:rPr>
        <w:t>c</w:t>
      </w:r>
      <w:r>
        <w:rPr>
          <w:lang w:val="en-US"/>
        </w:rPr>
        <w:t>apital investment requirements.</w:t>
      </w:r>
    </w:p>
    <w:p w14:paraId="0EA65591" w14:textId="77777777" w:rsidR="009D7060" w:rsidRPr="00115CB8" w:rsidRDefault="009D7060" w:rsidP="009D7060">
      <w:pPr>
        <w:pStyle w:val="-Normal-"/>
        <w:rPr>
          <w:lang w:val="en-US"/>
        </w:rPr>
      </w:pPr>
      <w:r w:rsidRPr="00604505">
        <w:rPr>
          <w:lang w:val="en-US"/>
        </w:rPr>
        <w:t xml:space="preserve">For </w:t>
      </w:r>
      <w:r w:rsidRPr="00115CB8">
        <w:rPr>
          <w:lang w:val="en-US"/>
        </w:rPr>
        <w:t xml:space="preserve">any </w:t>
      </w:r>
      <w:r>
        <w:rPr>
          <w:lang w:val="en-US"/>
        </w:rPr>
        <w:t>business transformation</w:t>
      </w:r>
      <w:r w:rsidRPr="00115CB8">
        <w:rPr>
          <w:lang w:val="en-US"/>
        </w:rPr>
        <w:t xml:space="preserve"> project, standard considerations and processes apply. These include </w:t>
      </w:r>
      <w:r>
        <w:rPr>
          <w:lang w:val="en-US"/>
        </w:rPr>
        <w:t xml:space="preserve">project planning, </w:t>
      </w:r>
      <w:r w:rsidRPr="00115CB8">
        <w:rPr>
          <w:lang w:val="en-US"/>
        </w:rPr>
        <w:t>technical spe</w:t>
      </w:r>
      <w:r>
        <w:rPr>
          <w:lang w:val="en-US"/>
        </w:rPr>
        <w:t>cifications, budget, risk, etc.</w:t>
      </w:r>
    </w:p>
    <w:p w14:paraId="0EA65592" w14:textId="77777777" w:rsidR="009D7060" w:rsidRDefault="009D7060" w:rsidP="009D7060">
      <w:pPr>
        <w:pStyle w:val="-Normal-"/>
        <w:rPr>
          <w:lang w:val="en-US"/>
        </w:rPr>
      </w:pPr>
      <w:r w:rsidRPr="00604505">
        <w:rPr>
          <w:lang w:val="en-US"/>
        </w:rPr>
        <w:t xml:space="preserve">For cloud services, there are additional considerations. </w:t>
      </w:r>
      <w:r w:rsidRPr="00115CB8">
        <w:rPr>
          <w:lang w:val="en-US"/>
        </w:rPr>
        <w:t>This seri</w:t>
      </w:r>
      <w:r w:rsidRPr="00604505">
        <w:rPr>
          <w:lang w:val="en-US"/>
        </w:rPr>
        <w:t xml:space="preserve">es of Cloud Services Guidelines </w:t>
      </w:r>
      <w:r w:rsidRPr="00115CB8">
        <w:rPr>
          <w:lang w:val="en-US"/>
        </w:rPr>
        <w:t>articulates those considerations. Consider these Guidelines a</w:t>
      </w:r>
      <w:r>
        <w:rPr>
          <w:lang w:val="en-US"/>
        </w:rPr>
        <w:t>longside your normal processes.</w:t>
      </w:r>
    </w:p>
    <w:p w14:paraId="0EA65593" w14:textId="77777777" w:rsidR="009D7060" w:rsidRDefault="009D7060" w:rsidP="00A869E6">
      <w:pPr>
        <w:pStyle w:val="Heading1"/>
      </w:pPr>
      <w:r>
        <w:t>Definition</w:t>
      </w:r>
    </w:p>
    <w:p w14:paraId="0EA65594" w14:textId="77777777" w:rsidR="009D7060" w:rsidRPr="00CF3089" w:rsidRDefault="009D7060" w:rsidP="009D7060">
      <w:pPr>
        <w:pStyle w:val="-Normal-"/>
      </w:pPr>
      <w:r w:rsidRPr="00CF3089">
        <w:t xml:space="preserve">There are many definitions of cloud </w:t>
      </w:r>
      <w:r>
        <w:t xml:space="preserve">services. Much of the information in these Guidelines is taken from the </w:t>
      </w:r>
      <w:r w:rsidRPr="00CF3089">
        <w:t xml:space="preserve">US Government’s </w:t>
      </w:r>
      <w:hyperlink r:id="rId10" w:history="1">
        <w:r w:rsidRPr="008148D5">
          <w:rPr>
            <w:rStyle w:val="Hyperlink"/>
            <w:u w:val="single"/>
          </w:rPr>
          <w:t>National Institute of Standards and Technology</w:t>
        </w:r>
      </w:hyperlink>
      <w:r w:rsidRPr="00CF3089">
        <w:t xml:space="preserve"> (NIST)</w:t>
      </w:r>
      <w:r w:rsidR="00BC3056">
        <w:rPr>
          <w:rFonts w:cs="Arial"/>
          <w:szCs w:val="22"/>
        </w:rPr>
        <w:t>.</w:t>
      </w:r>
    </w:p>
    <w:p w14:paraId="0EA65595" w14:textId="77777777" w:rsidR="009D7060" w:rsidRPr="00CF3089" w:rsidRDefault="009D7060" w:rsidP="009D7060">
      <w:pPr>
        <w:pStyle w:val="-Normal-"/>
      </w:pPr>
      <w:r>
        <w:t xml:space="preserve">The South Australian Government’s definition of cloud services as per the </w:t>
      </w:r>
      <w:hyperlink r:id="rId11" w:history="1">
        <w:r w:rsidRPr="008148D5">
          <w:rPr>
            <w:rStyle w:val="Hyperlink"/>
            <w:u w:val="single"/>
          </w:rPr>
          <w:t>Cloud Services Policy</w:t>
        </w:r>
      </w:hyperlink>
      <w:r w:rsidR="00BC3056">
        <w:t xml:space="preserve"> is</w:t>
      </w:r>
      <w:r w:rsidRPr="00CF3089">
        <w:t>:</w:t>
      </w:r>
    </w:p>
    <w:p w14:paraId="0EA65596" w14:textId="77777777" w:rsidR="009D7060" w:rsidRPr="008E7165" w:rsidRDefault="009D7060" w:rsidP="009D7060">
      <w:pPr>
        <w:spacing w:after="240"/>
        <w:ind w:left="426" w:right="566"/>
        <w:rPr>
          <w:i/>
        </w:rPr>
      </w:pPr>
      <w:r w:rsidRPr="008E7165">
        <w:rPr>
          <w:i/>
        </w:rPr>
        <w:t>“A cloud service allows users of ICT to access a service through a network without the need to acquire, own, and operate dedicated infrastructure, software and facilities.”</w:t>
      </w:r>
    </w:p>
    <w:p w14:paraId="0EA65597" w14:textId="77777777" w:rsidR="009D7060" w:rsidRDefault="009D7060" w:rsidP="00A869E6">
      <w:pPr>
        <w:pStyle w:val="Heading1"/>
      </w:pPr>
      <w:r>
        <w:t>Characteristics</w:t>
      </w:r>
    </w:p>
    <w:p w14:paraId="0EA65598" w14:textId="77777777" w:rsidR="009D7060" w:rsidRPr="00CF3089" w:rsidRDefault="009D7060" w:rsidP="009D7060">
      <w:pPr>
        <w:pStyle w:val="-Normal-"/>
      </w:pPr>
      <w:r w:rsidRPr="00CF3089">
        <w:t xml:space="preserve">According to NIST, the </w:t>
      </w:r>
      <w:r>
        <w:t xml:space="preserve">five </w:t>
      </w:r>
      <w:r w:rsidRPr="00CF3089">
        <w:t xml:space="preserve">key characteristics of cloud </w:t>
      </w:r>
      <w:r>
        <w:t>services</w:t>
      </w:r>
      <w:r w:rsidRPr="00CF3089">
        <w:t xml:space="preserve"> are:</w:t>
      </w:r>
    </w:p>
    <w:p w14:paraId="0EA65599" w14:textId="77777777" w:rsidR="009D7060" w:rsidRPr="00CF3089" w:rsidRDefault="009D7060" w:rsidP="009D7060">
      <w:pPr>
        <w:pStyle w:val="ListParagraph"/>
        <w:ind w:left="568" w:hanging="284"/>
      </w:pPr>
      <w:r w:rsidRPr="00CF3089">
        <w:rPr>
          <w:i/>
        </w:rPr>
        <w:t>On-demand self-service</w:t>
      </w:r>
      <w:r>
        <w:t xml:space="preserve"> – </w:t>
      </w:r>
      <w:r w:rsidRPr="00CF3089">
        <w:t>where capabilities ca</w:t>
      </w:r>
      <w:r>
        <w:t>n</w:t>
      </w:r>
      <w:r w:rsidRPr="00CF3089">
        <w:t xml:space="preserve"> be provisioned automatically without human intervention</w:t>
      </w:r>
    </w:p>
    <w:p w14:paraId="0EA6559A" w14:textId="77777777" w:rsidR="009D7060" w:rsidRPr="00CF3089" w:rsidRDefault="009D7060" w:rsidP="009D7060">
      <w:pPr>
        <w:pStyle w:val="ListParagraph"/>
        <w:ind w:left="568" w:hanging="284"/>
      </w:pPr>
      <w:r w:rsidRPr="00CF3089">
        <w:rPr>
          <w:i/>
        </w:rPr>
        <w:t>Broad network access</w:t>
      </w:r>
      <w:r>
        <w:t xml:space="preserve"> – </w:t>
      </w:r>
      <w:r w:rsidRPr="00CF3089">
        <w:t>as capabilities are available and able to be accessed across different platforms such as desktops, laptops, tablets and mobile phones</w:t>
      </w:r>
    </w:p>
    <w:p w14:paraId="0EA6559B" w14:textId="77777777" w:rsidR="009D7060" w:rsidRPr="00CF3089" w:rsidRDefault="009D7060" w:rsidP="009D7060">
      <w:pPr>
        <w:pStyle w:val="ListParagraph"/>
        <w:ind w:left="568" w:hanging="284"/>
        <w:rPr>
          <w:i/>
        </w:rPr>
      </w:pPr>
      <w:r w:rsidRPr="00CF3089">
        <w:rPr>
          <w:i/>
        </w:rPr>
        <w:t>Resource pooling</w:t>
      </w:r>
      <w:r>
        <w:t xml:space="preserve"> – </w:t>
      </w:r>
      <w:r w:rsidRPr="00CF3089">
        <w:t>where providers pool their physical and virtual computing resources dynamically across multiple customers</w:t>
      </w:r>
    </w:p>
    <w:p w14:paraId="0EA6559C" w14:textId="77777777" w:rsidR="009D7060" w:rsidRPr="00CF3089" w:rsidRDefault="009D7060" w:rsidP="009D7060">
      <w:pPr>
        <w:pStyle w:val="ListParagraph"/>
        <w:ind w:left="568" w:hanging="284"/>
        <w:rPr>
          <w:i/>
        </w:rPr>
      </w:pPr>
      <w:r w:rsidRPr="00CF3089">
        <w:rPr>
          <w:i/>
        </w:rPr>
        <w:t>Rapid elasticity</w:t>
      </w:r>
      <w:r>
        <w:t xml:space="preserve"> – </w:t>
      </w:r>
      <w:r w:rsidRPr="00CF3089">
        <w:t>as capabilities can be provisioned and released elastically, providing the ability to scale upward or downward with demand</w:t>
      </w:r>
    </w:p>
    <w:p w14:paraId="0EA6559D" w14:textId="77777777" w:rsidR="009D7060" w:rsidRPr="00CF3089" w:rsidRDefault="009D7060" w:rsidP="009D7060">
      <w:pPr>
        <w:pStyle w:val="ListParagraph"/>
        <w:ind w:left="568" w:hanging="284"/>
        <w:rPr>
          <w:i/>
        </w:rPr>
      </w:pPr>
      <w:r w:rsidRPr="00CF3089">
        <w:rPr>
          <w:i/>
        </w:rPr>
        <w:t>Measured service</w:t>
      </w:r>
      <w:r>
        <w:t xml:space="preserve"> – </w:t>
      </w:r>
      <w:r w:rsidRPr="00CF3089">
        <w:t>where the use of resources at various levels (including customer) can be controlled and measured</w:t>
      </w:r>
      <w:r>
        <w:t>.</w:t>
      </w:r>
    </w:p>
    <w:p w14:paraId="0EA6559E" w14:textId="77777777" w:rsidR="00BC3056" w:rsidRDefault="00BC3056" w:rsidP="00A869E6">
      <w:pPr>
        <w:pStyle w:val="Heading1"/>
      </w:pPr>
      <w:r>
        <w:br w:type="page"/>
      </w:r>
    </w:p>
    <w:p w14:paraId="0EA6559F" w14:textId="77777777" w:rsidR="009D7060" w:rsidRDefault="009D7060" w:rsidP="00A869E6">
      <w:pPr>
        <w:pStyle w:val="Heading1"/>
      </w:pPr>
      <w:r>
        <w:lastRenderedPageBreak/>
        <w:t>Service Models</w:t>
      </w:r>
    </w:p>
    <w:p w14:paraId="0EA655A0" w14:textId="77777777" w:rsidR="009D7060" w:rsidRPr="00CF3089" w:rsidRDefault="009D7060" w:rsidP="009D7060">
      <w:pPr>
        <w:pStyle w:val="-Normal-"/>
      </w:pPr>
      <w:r w:rsidRPr="00CF3089">
        <w:t>There are three cloud service models:</w:t>
      </w:r>
    </w:p>
    <w:p w14:paraId="0EA655A1" w14:textId="77777777" w:rsidR="009D7060" w:rsidRPr="00CF3089" w:rsidRDefault="009D7060" w:rsidP="009D7060">
      <w:pPr>
        <w:pStyle w:val="ListParagraph"/>
        <w:ind w:left="568" w:hanging="284"/>
        <w:rPr>
          <w:i/>
        </w:rPr>
      </w:pPr>
      <w:r w:rsidRPr="00CF3089">
        <w:rPr>
          <w:i/>
        </w:rPr>
        <w:t>Software as a Service (SaaS)</w:t>
      </w:r>
      <w:r w:rsidRPr="00CF3089">
        <w:t xml:space="preserve"> – providers’ applications running on cloud infrastructure are accessed through thin-client (eg web</w:t>
      </w:r>
      <w:r>
        <w:t xml:space="preserve"> browser) or program interfaces</w:t>
      </w:r>
    </w:p>
    <w:p w14:paraId="0EA655A2" w14:textId="77777777" w:rsidR="009D7060" w:rsidRPr="00CF3089" w:rsidRDefault="009D7060" w:rsidP="009D7060">
      <w:pPr>
        <w:pStyle w:val="ListParagraph"/>
        <w:ind w:left="568" w:hanging="284"/>
        <w:rPr>
          <w:i/>
        </w:rPr>
      </w:pPr>
      <w:r w:rsidRPr="00CF3089">
        <w:rPr>
          <w:i/>
        </w:rPr>
        <w:t>Platform as a Service (PaaS)</w:t>
      </w:r>
      <w:r w:rsidRPr="00CF3089">
        <w:t xml:space="preserve"> – customer-created or purchased applications are deployed onto a </w:t>
      </w:r>
      <w:r>
        <w:t>provider’s cloud infrastructure</w:t>
      </w:r>
    </w:p>
    <w:p w14:paraId="0EA655A3" w14:textId="77777777" w:rsidR="009D7060" w:rsidRPr="00CF3089" w:rsidRDefault="009D7060" w:rsidP="009D7060">
      <w:pPr>
        <w:pStyle w:val="ListParagraph"/>
        <w:ind w:left="568" w:hanging="284"/>
        <w:rPr>
          <w:i/>
        </w:rPr>
      </w:pPr>
      <w:r w:rsidRPr="00CF3089">
        <w:rPr>
          <w:i/>
        </w:rPr>
        <w:t>Infrastructure as a Service (IaaS)</w:t>
      </w:r>
      <w:r w:rsidRPr="00CF3089">
        <w:t xml:space="preserve"> – computer infrastructure (processing, storage, networks etc) are provided to the customer, to deploy their own software applications.</w:t>
      </w:r>
    </w:p>
    <w:p w14:paraId="0EA655A4" w14:textId="77777777" w:rsidR="009D7060" w:rsidRDefault="009D7060" w:rsidP="00A869E6">
      <w:pPr>
        <w:pStyle w:val="Heading1"/>
      </w:pPr>
      <w:r>
        <w:t>Deployment Models</w:t>
      </w:r>
    </w:p>
    <w:p w14:paraId="0EA655A5" w14:textId="77777777" w:rsidR="009D7060" w:rsidRPr="00CF3089" w:rsidRDefault="009D7060" w:rsidP="009D7060">
      <w:pPr>
        <w:pStyle w:val="-Normal-"/>
      </w:pPr>
      <w:r w:rsidRPr="00CF3089">
        <w:t>There are typically four ways that cloud models are deployed:</w:t>
      </w:r>
    </w:p>
    <w:p w14:paraId="0EA655A6" w14:textId="77777777" w:rsidR="009D7060" w:rsidRPr="00CF3089" w:rsidRDefault="009D7060" w:rsidP="009D7060">
      <w:pPr>
        <w:pStyle w:val="ListParagraph"/>
        <w:ind w:left="568" w:hanging="284"/>
      </w:pPr>
      <w:r w:rsidRPr="00CF3089">
        <w:rPr>
          <w:i/>
        </w:rPr>
        <w:t>Private cloud</w:t>
      </w:r>
      <w:r w:rsidRPr="00CF3089">
        <w:t xml:space="preserve"> – cloud infrastructure is provisioned for exclusive use by a single organisation comprising many consumers</w:t>
      </w:r>
    </w:p>
    <w:p w14:paraId="0EA655A7" w14:textId="77777777" w:rsidR="009D7060" w:rsidRPr="00CF3089" w:rsidRDefault="009D7060" w:rsidP="009D7060">
      <w:pPr>
        <w:pStyle w:val="ListParagraph"/>
        <w:ind w:left="568" w:hanging="284"/>
      </w:pPr>
      <w:r w:rsidRPr="00CF3089">
        <w:rPr>
          <w:i/>
        </w:rPr>
        <w:t>Community cloud</w:t>
      </w:r>
      <w:r w:rsidRPr="00CF3089">
        <w:t xml:space="preserve"> </w:t>
      </w:r>
      <w:r>
        <w:t xml:space="preserve">– </w:t>
      </w:r>
      <w:r w:rsidRPr="00CF3089">
        <w:t>cloud infrastructure is provisioned for exclusive use by a community of consumers</w:t>
      </w:r>
    </w:p>
    <w:p w14:paraId="0EA655A8" w14:textId="77777777" w:rsidR="009D7060" w:rsidRPr="00CF3089" w:rsidRDefault="009D7060" w:rsidP="009D7060">
      <w:pPr>
        <w:pStyle w:val="ListParagraph"/>
        <w:ind w:left="568" w:hanging="284"/>
      </w:pPr>
      <w:r w:rsidRPr="00CF3089">
        <w:rPr>
          <w:i/>
        </w:rPr>
        <w:t>Public cloud</w:t>
      </w:r>
      <w:r>
        <w:t xml:space="preserve"> – </w:t>
      </w:r>
      <w:r w:rsidRPr="00CF3089">
        <w:t>cloud infrastructure is provisioned for open use by the general public</w:t>
      </w:r>
    </w:p>
    <w:p w14:paraId="0EA655A9" w14:textId="77777777" w:rsidR="009D7060" w:rsidRDefault="009D7060" w:rsidP="009D7060">
      <w:pPr>
        <w:pStyle w:val="ListParagraph"/>
        <w:ind w:left="568" w:hanging="284"/>
      </w:pPr>
      <w:r w:rsidRPr="00CF3089">
        <w:rPr>
          <w:i/>
        </w:rPr>
        <w:t xml:space="preserve">Hybrid cloud </w:t>
      </w:r>
      <w:r w:rsidRPr="00CF3089">
        <w:t>– cloud infrastructure is a composition of two or more distinct cloud infrastructures</w:t>
      </w:r>
      <w:r>
        <w:t>.</w:t>
      </w:r>
    </w:p>
    <w:p w14:paraId="0EA655AA" w14:textId="77777777" w:rsidR="009D7060" w:rsidRDefault="009D7060" w:rsidP="00A869E6">
      <w:pPr>
        <w:pStyle w:val="Heading1"/>
      </w:pPr>
      <w:r>
        <w:t>References, Links &amp; Additional Information</w:t>
      </w:r>
    </w:p>
    <w:p w14:paraId="0EA655AB" w14:textId="77777777" w:rsidR="009D7060" w:rsidRPr="008E7165" w:rsidRDefault="009D7060" w:rsidP="009D7060">
      <w:pPr>
        <w:pStyle w:val="-Normal-"/>
      </w:pPr>
      <w:r w:rsidRPr="008E7165">
        <w:t>There are many resources that provide additional information, checklists and advice on cloud computing. Appendix A provides a selection of these resources and subject areas that they address.</w:t>
      </w:r>
    </w:p>
    <w:p w14:paraId="0EA655AC" w14:textId="77777777" w:rsidR="009D7060" w:rsidRDefault="009D7060" w:rsidP="00A869E6">
      <w:pPr>
        <w:pStyle w:val="Heading1"/>
      </w:pPr>
      <w:r w:rsidRPr="00894917">
        <w:t>Document</w:t>
      </w:r>
      <w:r>
        <w:t xml:space="preserve"> control</w:t>
      </w:r>
    </w:p>
    <w:tbl>
      <w:tblPr>
        <w:tblStyle w:val="DPCTable1"/>
        <w:tblpPr w:leftFromText="180" w:rightFromText="180" w:vertAnchor="text" w:horzAnchor="margin" w:tblpX="426" w:tblpY="-35"/>
        <w:tblW w:w="9497" w:type="dxa"/>
        <w:tblBorders>
          <w:top w:val="none" w:sz="0" w:space="0" w:color="auto"/>
          <w:bottom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19"/>
        <w:gridCol w:w="6378"/>
      </w:tblGrid>
      <w:tr w:rsidR="009D7060" w14:paraId="0EA655AF" w14:textId="77777777" w:rsidTr="00AF3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DDFF" w:themeFill="text2" w:themeFillTint="33"/>
            <w:vAlign w:val="center"/>
          </w:tcPr>
          <w:p w14:paraId="0EA655AD" w14:textId="77777777" w:rsidR="009D7060" w:rsidRPr="007D7F5F" w:rsidRDefault="009D7060" w:rsidP="00AF3B53">
            <w:pPr>
              <w:pStyle w:val="TableText"/>
              <w:spacing w:before="0" w:after="0"/>
              <w:rPr>
                <w:b w:val="0"/>
                <w:sz w:val="18"/>
              </w:rPr>
            </w:pPr>
            <w:r w:rsidRPr="007D7F5F">
              <w:rPr>
                <w:b w:val="0"/>
                <w:sz w:val="18"/>
              </w:rPr>
              <w:t>ID</w:t>
            </w:r>
          </w:p>
        </w:tc>
        <w:tc>
          <w:tcPr>
            <w:tcW w:w="6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DDFF" w:themeFill="text2" w:themeFillTint="33"/>
            <w:vAlign w:val="center"/>
          </w:tcPr>
          <w:p w14:paraId="0EA655AE" w14:textId="77777777" w:rsidR="009D7060" w:rsidRPr="007D7F5F" w:rsidRDefault="009D7060" w:rsidP="00AF3B53">
            <w:pPr>
              <w:pStyle w:val="TableText"/>
              <w:spacing w:before="0" w:after="0"/>
              <w:rPr>
                <w:b w:val="0"/>
                <w:sz w:val="18"/>
              </w:rPr>
            </w:pPr>
            <w:r w:rsidRPr="007D7F5F">
              <w:rPr>
                <w:b w:val="0"/>
                <w:sz w:val="18"/>
              </w:rPr>
              <w:t>DPC/</w:t>
            </w:r>
            <w:r>
              <w:rPr>
                <w:b w:val="0"/>
                <w:sz w:val="18"/>
              </w:rPr>
              <w:t>G3.1</w:t>
            </w:r>
          </w:p>
        </w:tc>
      </w:tr>
      <w:tr w:rsidR="009D7060" w14:paraId="0EA655B2" w14:textId="77777777" w:rsidTr="00AF3B53">
        <w:trPr>
          <w:trHeight w:val="340"/>
        </w:trPr>
        <w:tc>
          <w:tcPr>
            <w:tcW w:w="3119" w:type="dxa"/>
            <w:shd w:val="clear" w:color="auto" w:fill="B4DDFF" w:themeFill="text2" w:themeFillTint="33"/>
            <w:vAlign w:val="center"/>
          </w:tcPr>
          <w:p w14:paraId="0EA655B0" w14:textId="77777777" w:rsidR="009D7060" w:rsidRPr="008928FB" w:rsidRDefault="009D7060" w:rsidP="00AF3B53">
            <w:pPr>
              <w:pStyle w:val="TableText"/>
              <w:spacing w:before="0" w:after="0"/>
              <w:rPr>
                <w:sz w:val="18"/>
              </w:rPr>
            </w:pPr>
            <w:r>
              <w:rPr>
                <w:sz w:val="18"/>
              </w:rPr>
              <w:t>Version</w:t>
            </w:r>
          </w:p>
        </w:tc>
        <w:tc>
          <w:tcPr>
            <w:tcW w:w="6378" w:type="dxa"/>
            <w:shd w:val="clear" w:color="auto" w:fill="B4DDFF" w:themeFill="text2" w:themeFillTint="33"/>
            <w:vAlign w:val="center"/>
          </w:tcPr>
          <w:p w14:paraId="0EA655B1" w14:textId="77777777" w:rsidR="009D7060" w:rsidRPr="008928FB" w:rsidRDefault="009D7060" w:rsidP="00AF3B53">
            <w:pPr>
              <w:pStyle w:val="TableText"/>
              <w:spacing w:before="0" w:after="0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 w:rsidR="009D7060" w14:paraId="0EA655B5" w14:textId="77777777" w:rsidTr="00AF3B53">
        <w:trPr>
          <w:trHeight w:val="340"/>
        </w:trPr>
        <w:tc>
          <w:tcPr>
            <w:tcW w:w="3119" w:type="dxa"/>
            <w:shd w:val="clear" w:color="auto" w:fill="B4DDFF" w:themeFill="text2" w:themeFillTint="33"/>
            <w:vAlign w:val="center"/>
          </w:tcPr>
          <w:p w14:paraId="0EA655B3" w14:textId="77777777" w:rsidR="009D7060" w:rsidRPr="008928FB" w:rsidRDefault="009D7060" w:rsidP="00AF3B53">
            <w:pPr>
              <w:pStyle w:val="TableText"/>
              <w:spacing w:before="0" w:after="0"/>
              <w:rPr>
                <w:sz w:val="18"/>
              </w:rPr>
            </w:pPr>
            <w:r>
              <w:rPr>
                <w:sz w:val="18"/>
              </w:rPr>
              <w:t>Classification/DLM</w:t>
            </w:r>
          </w:p>
        </w:tc>
        <w:tc>
          <w:tcPr>
            <w:tcW w:w="6378" w:type="dxa"/>
            <w:shd w:val="clear" w:color="auto" w:fill="B4DDFF" w:themeFill="text2" w:themeFillTint="33"/>
            <w:vAlign w:val="center"/>
          </w:tcPr>
          <w:p w14:paraId="0EA655B4" w14:textId="77777777" w:rsidR="009D7060" w:rsidRPr="008928FB" w:rsidRDefault="009D7060" w:rsidP="00AF3B53">
            <w:pPr>
              <w:pStyle w:val="TableText"/>
              <w:spacing w:before="0" w:after="0"/>
              <w:rPr>
                <w:sz w:val="18"/>
              </w:rPr>
            </w:pPr>
            <w:r>
              <w:rPr>
                <w:sz w:val="18"/>
              </w:rPr>
              <w:t>Public I1-A1</w:t>
            </w:r>
          </w:p>
        </w:tc>
      </w:tr>
      <w:tr w:rsidR="009D7060" w14:paraId="0EA655B8" w14:textId="77777777" w:rsidTr="00AF3B53">
        <w:trPr>
          <w:trHeight w:val="340"/>
        </w:trPr>
        <w:tc>
          <w:tcPr>
            <w:tcW w:w="3119" w:type="dxa"/>
            <w:shd w:val="clear" w:color="auto" w:fill="B4DDFF" w:themeFill="text2" w:themeFillTint="33"/>
            <w:vAlign w:val="center"/>
          </w:tcPr>
          <w:p w14:paraId="0EA655B6" w14:textId="77777777" w:rsidR="009D7060" w:rsidRPr="008928FB" w:rsidRDefault="009D7060" w:rsidP="00AF3B53">
            <w:pPr>
              <w:pStyle w:val="TableText"/>
              <w:spacing w:before="0" w:after="0"/>
              <w:rPr>
                <w:sz w:val="18"/>
              </w:rPr>
            </w:pPr>
            <w:r>
              <w:rPr>
                <w:sz w:val="18"/>
              </w:rPr>
              <w:t>Compliance</w:t>
            </w:r>
          </w:p>
        </w:tc>
        <w:tc>
          <w:tcPr>
            <w:tcW w:w="6378" w:type="dxa"/>
            <w:shd w:val="clear" w:color="auto" w:fill="B4DDFF" w:themeFill="text2" w:themeFillTint="33"/>
            <w:vAlign w:val="center"/>
          </w:tcPr>
          <w:p w14:paraId="0EA655B7" w14:textId="77777777" w:rsidR="009D7060" w:rsidRPr="008928FB" w:rsidRDefault="009D7060" w:rsidP="00AF3B53">
            <w:pPr>
              <w:pStyle w:val="TableText"/>
              <w:spacing w:before="0" w:after="0"/>
              <w:rPr>
                <w:sz w:val="18"/>
              </w:rPr>
            </w:pPr>
            <w:r>
              <w:rPr>
                <w:sz w:val="18"/>
              </w:rPr>
              <w:t>Discretionary</w:t>
            </w:r>
          </w:p>
        </w:tc>
      </w:tr>
      <w:tr w:rsidR="009D7060" w14:paraId="0EA655BB" w14:textId="77777777" w:rsidTr="00AF3B53">
        <w:trPr>
          <w:trHeight w:val="340"/>
        </w:trPr>
        <w:tc>
          <w:tcPr>
            <w:tcW w:w="3119" w:type="dxa"/>
            <w:shd w:val="clear" w:color="auto" w:fill="B4DDFF" w:themeFill="text2" w:themeFillTint="33"/>
            <w:vAlign w:val="center"/>
          </w:tcPr>
          <w:p w14:paraId="0EA655B9" w14:textId="77777777" w:rsidR="009D7060" w:rsidRPr="008928FB" w:rsidRDefault="009D7060" w:rsidP="00AF3B53">
            <w:pPr>
              <w:pStyle w:val="TableText"/>
              <w:spacing w:before="0" w:after="0"/>
              <w:rPr>
                <w:sz w:val="18"/>
              </w:rPr>
            </w:pPr>
            <w:r>
              <w:rPr>
                <w:sz w:val="18"/>
              </w:rPr>
              <w:t>Original authorisation date</w:t>
            </w:r>
          </w:p>
        </w:tc>
        <w:tc>
          <w:tcPr>
            <w:tcW w:w="6378" w:type="dxa"/>
            <w:shd w:val="clear" w:color="auto" w:fill="B4DDFF" w:themeFill="text2" w:themeFillTint="33"/>
            <w:vAlign w:val="center"/>
          </w:tcPr>
          <w:p w14:paraId="0EA655BA" w14:textId="77777777" w:rsidR="009D7060" w:rsidRPr="008928FB" w:rsidRDefault="009D7060" w:rsidP="00AF3B53">
            <w:pPr>
              <w:pStyle w:val="TableText"/>
              <w:spacing w:before="0" w:after="0"/>
              <w:rPr>
                <w:sz w:val="18"/>
              </w:rPr>
            </w:pPr>
            <w:r>
              <w:rPr>
                <w:sz w:val="18"/>
              </w:rPr>
              <w:t>December 2016</w:t>
            </w:r>
          </w:p>
        </w:tc>
      </w:tr>
      <w:tr w:rsidR="009D7060" w14:paraId="0EA655BE" w14:textId="77777777" w:rsidTr="00AF3B53">
        <w:trPr>
          <w:trHeight w:val="340"/>
        </w:trPr>
        <w:tc>
          <w:tcPr>
            <w:tcW w:w="3119" w:type="dxa"/>
            <w:shd w:val="clear" w:color="auto" w:fill="B4DDFF" w:themeFill="text2" w:themeFillTint="33"/>
            <w:vAlign w:val="center"/>
          </w:tcPr>
          <w:p w14:paraId="0EA655BC" w14:textId="77777777" w:rsidR="009D7060" w:rsidRPr="008928FB" w:rsidRDefault="009D7060" w:rsidP="00AF3B53">
            <w:pPr>
              <w:pStyle w:val="TableText"/>
              <w:spacing w:before="0" w:after="0"/>
              <w:rPr>
                <w:sz w:val="18"/>
              </w:rPr>
            </w:pPr>
            <w:r>
              <w:rPr>
                <w:sz w:val="18"/>
              </w:rPr>
              <w:t>Last approval date</w:t>
            </w:r>
          </w:p>
        </w:tc>
        <w:tc>
          <w:tcPr>
            <w:tcW w:w="6378" w:type="dxa"/>
            <w:shd w:val="clear" w:color="auto" w:fill="B4DDFF" w:themeFill="text2" w:themeFillTint="33"/>
            <w:vAlign w:val="center"/>
          </w:tcPr>
          <w:p w14:paraId="0EA655BD" w14:textId="77777777" w:rsidR="009D7060" w:rsidRPr="008928FB" w:rsidRDefault="00856A7F" w:rsidP="00AF3B53">
            <w:pPr>
              <w:pStyle w:val="TableText"/>
              <w:spacing w:before="0" w:after="0"/>
              <w:rPr>
                <w:sz w:val="18"/>
              </w:rPr>
            </w:pPr>
            <w:r>
              <w:rPr>
                <w:sz w:val="18"/>
              </w:rPr>
              <w:t>February 2019</w:t>
            </w:r>
          </w:p>
        </w:tc>
      </w:tr>
      <w:tr w:rsidR="009D7060" w14:paraId="0EA655C1" w14:textId="77777777" w:rsidTr="00AF3B53">
        <w:trPr>
          <w:trHeight w:val="340"/>
        </w:trPr>
        <w:tc>
          <w:tcPr>
            <w:tcW w:w="3119" w:type="dxa"/>
            <w:shd w:val="clear" w:color="auto" w:fill="B4DDFF" w:themeFill="text2" w:themeFillTint="33"/>
            <w:vAlign w:val="center"/>
          </w:tcPr>
          <w:p w14:paraId="0EA655BF" w14:textId="77777777" w:rsidR="009D7060" w:rsidRPr="008928FB" w:rsidRDefault="009D7060" w:rsidP="00AF3B53">
            <w:pPr>
              <w:pStyle w:val="TableText"/>
              <w:spacing w:before="0" w:after="0"/>
              <w:rPr>
                <w:sz w:val="18"/>
              </w:rPr>
            </w:pPr>
            <w:r>
              <w:rPr>
                <w:sz w:val="18"/>
              </w:rPr>
              <w:t>Next review date</w:t>
            </w:r>
          </w:p>
        </w:tc>
        <w:tc>
          <w:tcPr>
            <w:tcW w:w="6378" w:type="dxa"/>
            <w:shd w:val="clear" w:color="auto" w:fill="B4DDFF" w:themeFill="text2" w:themeFillTint="33"/>
            <w:vAlign w:val="center"/>
          </w:tcPr>
          <w:p w14:paraId="0EA655C0" w14:textId="77777777" w:rsidR="009D7060" w:rsidRPr="008928FB" w:rsidRDefault="00856A7F" w:rsidP="00AF3B53">
            <w:pPr>
              <w:pStyle w:val="TableText"/>
              <w:spacing w:before="0" w:after="0"/>
              <w:rPr>
                <w:sz w:val="18"/>
              </w:rPr>
            </w:pPr>
            <w:r>
              <w:rPr>
                <w:sz w:val="18"/>
              </w:rPr>
              <w:t>February 2020</w:t>
            </w:r>
          </w:p>
        </w:tc>
      </w:tr>
    </w:tbl>
    <w:p w14:paraId="0EA655C2" w14:textId="77777777" w:rsidR="009D7060" w:rsidRPr="007D7F5F" w:rsidRDefault="009D7060" w:rsidP="009D7060">
      <w:pPr>
        <w:pStyle w:val="-Normal1-"/>
      </w:pPr>
    </w:p>
    <w:tbl>
      <w:tblPr>
        <w:tblStyle w:val="TableGrid"/>
        <w:tblW w:w="9494" w:type="dxa"/>
        <w:tblInd w:w="426" w:type="dxa"/>
        <w:tblBorders>
          <w:top w:val="single" w:sz="2" w:space="0" w:color="B4DDFF" w:themeColor="text2" w:themeTint="33"/>
          <w:left w:val="single" w:sz="2" w:space="0" w:color="B4DDFF" w:themeColor="text2" w:themeTint="33"/>
          <w:bottom w:val="single" w:sz="2" w:space="0" w:color="B4DDFF" w:themeColor="text2" w:themeTint="33"/>
          <w:right w:val="single" w:sz="2" w:space="0" w:color="B4DDFF" w:themeColor="text2" w:themeTint="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9D7060" w14:paraId="0EA655C4" w14:textId="77777777" w:rsidTr="00AF3B53">
        <w:trPr>
          <w:trHeight w:val="454"/>
        </w:trPr>
        <w:tc>
          <w:tcPr>
            <w:tcW w:w="9494" w:type="dxa"/>
            <w:shd w:val="clear" w:color="auto" w:fill="B4DDFF" w:themeFill="text2" w:themeFillTint="33"/>
            <w:vAlign w:val="center"/>
          </w:tcPr>
          <w:p w14:paraId="0EA655C3" w14:textId="77777777" w:rsidR="009D7060" w:rsidRPr="007D7F5F" w:rsidRDefault="009D7060" w:rsidP="00AF3B53">
            <w:pPr>
              <w:pStyle w:val="-Normal1-"/>
            </w:pPr>
            <w:r w:rsidRPr="00126C6F">
              <w:t>Licence</w:t>
            </w:r>
          </w:p>
        </w:tc>
      </w:tr>
      <w:tr w:rsidR="009D7060" w14:paraId="0EA655C6" w14:textId="77777777" w:rsidTr="00AF3B53">
        <w:trPr>
          <w:trHeight w:val="340"/>
        </w:trPr>
        <w:tc>
          <w:tcPr>
            <w:tcW w:w="9494" w:type="dxa"/>
            <w:vAlign w:val="center"/>
          </w:tcPr>
          <w:p w14:paraId="0EA655C5" w14:textId="77777777" w:rsidR="009D7060" w:rsidRDefault="009D7060" w:rsidP="00AF3B53">
            <w:pPr>
              <w:pStyle w:val="-Normal1-"/>
            </w:pPr>
            <w:r w:rsidRPr="00684B9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A65648" wp14:editId="0EA65649">
                  <wp:simplePos x="0" y="0"/>
                  <wp:positionH relativeFrom="column">
                    <wp:posOffset>-674370</wp:posOffset>
                  </wp:positionH>
                  <wp:positionV relativeFrom="paragraph">
                    <wp:posOffset>133350</wp:posOffset>
                  </wp:positionV>
                  <wp:extent cx="838200" cy="294640"/>
                  <wp:effectExtent l="0" t="0" r="0" b="0"/>
                  <wp:wrapSquare wrapText="bothSides"/>
                  <wp:docPr id="15" name="Picture 3" descr="Creative Commons Attribution 2.5 Australia 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eative Commons Attribution 2.5 Australia 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7060" w14:paraId="0EA655C8" w14:textId="77777777" w:rsidTr="00AF3B53">
        <w:trPr>
          <w:trHeight w:val="1247"/>
        </w:trPr>
        <w:tc>
          <w:tcPr>
            <w:tcW w:w="9494" w:type="dxa"/>
            <w:vAlign w:val="center"/>
          </w:tcPr>
          <w:p w14:paraId="0EA655C7" w14:textId="77777777" w:rsidR="009D7060" w:rsidRPr="00126C6F" w:rsidRDefault="009D7060" w:rsidP="00AF3B53">
            <w:pPr>
              <w:pStyle w:val="-Normal1-"/>
            </w:pPr>
            <w:r w:rsidRPr="00126C6F">
              <w:t xml:space="preserve">With the exception of the Government of South Australia brand, logos and any images, this work is licensed under a </w:t>
            </w:r>
            <w:hyperlink r:id="rId14" w:history="1">
              <w:r w:rsidRPr="0018012B">
                <w:rPr>
                  <w:color w:val="004B88" w:themeColor="text2"/>
                  <w:u w:val="single"/>
                </w:rPr>
                <w:t>Creative Commons Attribution (CC BY) 4.0 Licence</w:t>
              </w:r>
            </w:hyperlink>
            <w:r w:rsidRPr="00126C6F">
              <w:t xml:space="preserve">. To attribute this material, cite </w:t>
            </w:r>
            <w:r w:rsidR="00BC3056">
              <w:t>Departm</w:t>
            </w:r>
            <w:r w:rsidRPr="00126C6F">
              <w:t>ent of the Premier and Cabinet, Government of South Australia, 201</w:t>
            </w:r>
            <w:r w:rsidR="00827AC3">
              <w:t>9</w:t>
            </w:r>
            <w:r w:rsidRPr="00126C6F">
              <w:t>.</w:t>
            </w:r>
          </w:p>
        </w:tc>
      </w:tr>
    </w:tbl>
    <w:p w14:paraId="0EA655C9" w14:textId="77777777" w:rsidR="005C1AAC" w:rsidRDefault="005C1AAC" w:rsidP="009D7060">
      <w:pPr>
        <w:spacing w:after="240"/>
        <w:rPr>
          <w:rStyle w:val="Hyperlink"/>
          <w:color w:val="auto"/>
        </w:rPr>
        <w:sectPr w:rsidR="005C1AAC" w:rsidSect="00F32317">
          <w:headerReference w:type="default" r:id="rId15"/>
          <w:footerReference w:type="default" r:id="rId16"/>
          <w:headerReference w:type="first" r:id="rId17"/>
          <w:footerReference w:type="first" r:id="rId18"/>
          <w:pgSz w:w="11900" w:h="16840"/>
          <w:pgMar w:top="1418" w:right="1127" w:bottom="426" w:left="993" w:header="0" w:footer="478" w:gutter="0"/>
          <w:cols w:space="708"/>
          <w:titlePg/>
          <w:docGrid w:linePitch="360"/>
        </w:sectPr>
      </w:pPr>
    </w:p>
    <w:p w14:paraId="0EA655CA" w14:textId="77777777" w:rsidR="00145ABA" w:rsidRDefault="00145ABA" w:rsidP="00A869E6">
      <w:pPr>
        <w:pStyle w:val="TableHeading1"/>
      </w:pPr>
    </w:p>
    <w:p w14:paraId="0EA655CB" w14:textId="77777777" w:rsidR="00145ABA" w:rsidRDefault="00145ABA" w:rsidP="00A869E6">
      <w:pPr>
        <w:pStyle w:val="TableHeading1"/>
      </w:pPr>
    </w:p>
    <w:p w14:paraId="0EA655CC" w14:textId="77777777" w:rsidR="00145ABA" w:rsidRDefault="00145ABA" w:rsidP="00A869E6">
      <w:pPr>
        <w:pStyle w:val="TableHeading1"/>
      </w:pPr>
    </w:p>
    <w:p w14:paraId="0EA655CD" w14:textId="77777777" w:rsidR="005C1AAC" w:rsidRDefault="005C1AAC" w:rsidP="00A869E6">
      <w:pPr>
        <w:pStyle w:val="TableHeading1"/>
      </w:pPr>
      <w:r w:rsidRPr="00E808FA">
        <w:t>Appendix A – Additional R</w:t>
      </w:r>
      <w:r>
        <w:t>e</w:t>
      </w:r>
      <w:r w:rsidRPr="00E808FA">
        <w:t>ferences</w:t>
      </w:r>
    </w:p>
    <w:p w14:paraId="0EA655CE" w14:textId="77777777" w:rsidR="005C1AAC" w:rsidRDefault="005C1AAC" w:rsidP="00A869E6">
      <w:pPr>
        <w:spacing w:after="120"/>
      </w:pPr>
      <w:r>
        <w:t>The following resources provide information, checklists and advice (primarily) in the subject areas indicated.</w:t>
      </w:r>
    </w:p>
    <w:tbl>
      <w:tblPr>
        <w:tblStyle w:val="TableGrid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964"/>
        <w:gridCol w:w="850"/>
        <w:gridCol w:w="964"/>
        <w:gridCol w:w="850"/>
        <w:gridCol w:w="1247"/>
        <w:gridCol w:w="850"/>
        <w:gridCol w:w="850"/>
        <w:gridCol w:w="850"/>
        <w:gridCol w:w="850"/>
        <w:gridCol w:w="1932"/>
      </w:tblGrid>
      <w:tr w:rsidR="005C1AAC" w:rsidRPr="00A869E6" w14:paraId="0EA655DA" w14:textId="77777777" w:rsidTr="00A869E6">
        <w:tc>
          <w:tcPr>
            <w:tcW w:w="5386" w:type="dxa"/>
            <w:shd w:val="clear" w:color="auto" w:fill="004B88" w:themeFill="text2"/>
            <w:vAlign w:val="center"/>
          </w:tcPr>
          <w:p w14:paraId="0EA655CF" w14:textId="77777777" w:rsidR="005C1AAC" w:rsidRPr="0010113E" w:rsidRDefault="005C1AAC" w:rsidP="00A869E6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004B88" w:themeFill="text2"/>
            <w:vAlign w:val="center"/>
          </w:tcPr>
          <w:p w14:paraId="0EA655D0" w14:textId="77777777" w:rsidR="005C1AAC" w:rsidRPr="0010113E" w:rsidRDefault="005C1AAC" w:rsidP="00A869E6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0113E">
              <w:rPr>
                <w:b/>
                <w:sz w:val="16"/>
                <w:szCs w:val="16"/>
              </w:rPr>
              <w:t>Overview</w:t>
            </w:r>
          </w:p>
        </w:tc>
        <w:tc>
          <w:tcPr>
            <w:tcW w:w="850" w:type="dxa"/>
            <w:shd w:val="clear" w:color="auto" w:fill="004B88" w:themeFill="text2"/>
            <w:vAlign w:val="center"/>
          </w:tcPr>
          <w:p w14:paraId="0EA655D1" w14:textId="77777777" w:rsidR="005C1AAC" w:rsidRPr="0010113E" w:rsidRDefault="005C1AAC" w:rsidP="00A869E6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0113E">
              <w:rPr>
                <w:b/>
                <w:sz w:val="16"/>
                <w:szCs w:val="16"/>
              </w:rPr>
              <w:t>Security</w:t>
            </w:r>
          </w:p>
        </w:tc>
        <w:tc>
          <w:tcPr>
            <w:tcW w:w="964" w:type="dxa"/>
            <w:shd w:val="clear" w:color="auto" w:fill="004B88" w:themeFill="text2"/>
            <w:vAlign w:val="center"/>
          </w:tcPr>
          <w:p w14:paraId="0EA655D2" w14:textId="77777777" w:rsidR="005C1AAC" w:rsidRPr="0010113E" w:rsidRDefault="005C1AAC" w:rsidP="00A869E6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0113E">
              <w:rPr>
                <w:b/>
                <w:sz w:val="16"/>
                <w:szCs w:val="16"/>
              </w:rPr>
              <w:t>Business</w:t>
            </w:r>
          </w:p>
        </w:tc>
        <w:tc>
          <w:tcPr>
            <w:tcW w:w="850" w:type="dxa"/>
            <w:shd w:val="clear" w:color="auto" w:fill="004B88" w:themeFill="text2"/>
            <w:vAlign w:val="center"/>
          </w:tcPr>
          <w:p w14:paraId="0EA655D3" w14:textId="77777777" w:rsidR="005C1AAC" w:rsidRPr="0010113E" w:rsidRDefault="005C1AAC" w:rsidP="00A869E6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0113E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247" w:type="dxa"/>
            <w:shd w:val="clear" w:color="auto" w:fill="004B88" w:themeFill="text2"/>
            <w:vAlign w:val="center"/>
          </w:tcPr>
          <w:p w14:paraId="0EA655D4" w14:textId="77777777" w:rsidR="005C1AAC" w:rsidRPr="0010113E" w:rsidRDefault="005C1AAC" w:rsidP="00A869E6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0113E">
              <w:rPr>
                <w:b/>
                <w:sz w:val="16"/>
                <w:szCs w:val="16"/>
              </w:rPr>
              <w:t>Procurement</w:t>
            </w:r>
          </w:p>
        </w:tc>
        <w:tc>
          <w:tcPr>
            <w:tcW w:w="850" w:type="dxa"/>
            <w:shd w:val="clear" w:color="auto" w:fill="004B88" w:themeFill="text2"/>
            <w:vAlign w:val="center"/>
          </w:tcPr>
          <w:p w14:paraId="0EA655D5" w14:textId="77777777" w:rsidR="005C1AAC" w:rsidRPr="0010113E" w:rsidRDefault="005C1AAC" w:rsidP="00A869E6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0113E">
              <w:rPr>
                <w:b/>
                <w:sz w:val="16"/>
                <w:szCs w:val="16"/>
              </w:rPr>
              <w:t>Finance</w:t>
            </w:r>
          </w:p>
        </w:tc>
        <w:tc>
          <w:tcPr>
            <w:tcW w:w="850" w:type="dxa"/>
            <w:shd w:val="clear" w:color="auto" w:fill="004B88" w:themeFill="text2"/>
            <w:vAlign w:val="center"/>
          </w:tcPr>
          <w:p w14:paraId="0EA655D6" w14:textId="77777777" w:rsidR="005C1AAC" w:rsidRPr="0010113E" w:rsidRDefault="005C1AAC" w:rsidP="00A869E6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0113E">
              <w:rPr>
                <w:b/>
                <w:sz w:val="16"/>
                <w:szCs w:val="16"/>
              </w:rPr>
              <w:t>Legal</w:t>
            </w:r>
          </w:p>
        </w:tc>
        <w:tc>
          <w:tcPr>
            <w:tcW w:w="850" w:type="dxa"/>
            <w:shd w:val="clear" w:color="auto" w:fill="004B88" w:themeFill="text2"/>
            <w:vAlign w:val="center"/>
          </w:tcPr>
          <w:p w14:paraId="0EA655D7" w14:textId="77777777" w:rsidR="005C1AAC" w:rsidRPr="0010113E" w:rsidRDefault="005C1AAC" w:rsidP="00A869E6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0113E">
              <w:rPr>
                <w:b/>
                <w:sz w:val="16"/>
                <w:szCs w:val="16"/>
              </w:rPr>
              <w:t>Risk</w:t>
            </w:r>
          </w:p>
        </w:tc>
        <w:tc>
          <w:tcPr>
            <w:tcW w:w="850" w:type="dxa"/>
            <w:shd w:val="clear" w:color="auto" w:fill="004B88" w:themeFill="text2"/>
            <w:vAlign w:val="center"/>
          </w:tcPr>
          <w:p w14:paraId="0EA655D8" w14:textId="77777777" w:rsidR="005C1AAC" w:rsidRPr="0010113E" w:rsidRDefault="005C1AAC" w:rsidP="00A869E6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0113E">
              <w:rPr>
                <w:b/>
                <w:sz w:val="16"/>
                <w:szCs w:val="16"/>
              </w:rPr>
              <w:t>Network</w:t>
            </w:r>
          </w:p>
        </w:tc>
        <w:tc>
          <w:tcPr>
            <w:tcW w:w="1932" w:type="dxa"/>
            <w:shd w:val="clear" w:color="auto" w:fill="004B88" w:themeFill="text2"/>
            <w:vAlign w:val="center"/>
          </w:tcPr>
          <w:p w14:paraId="0EA655D9" w14:textId="77777777" w:rsidR="005C1AAC" w:rsidRPr="0010113E" w:rsidRDefault="005C1AAC" w:rsidP="00A869E6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0113E">
              <w:rPr>
                <w:b/>
                <w:sz w:val="16"/>
                <w:szCs w:val="16"/>
              </w:rPr>
              <w:t>Information &amp; Records Management</w:t>
            </w:r>
          </w:p>
        </w:tc>
      </w:tr>
      <w:tr w:rsidR="005C1AAC" w:rsidRPr="000D5214" w14:paraId="0EA655E6" w14:textId="77777777" w:rsidTr="00A869E6">
        <w:trPr>
          <w:trHeight w:val="567"/>
        </w:trPr>
        <w:tc>
          <w:tcPr>
            <w:tcW w:w="5386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A655DB" w14:textId="77777777" w:rsidR="005C1AAC" w:rsidRPr="000D5214" w:rsidRDefault="005D6A48" w:rsidP="00A869E6">
            <w:pPr>
              <w:spacing w:before="60" w:after="60" w:line="276" w:lineRule="auto"/>
              <w:rPr>
                <w:rStyle w:val="Hyperlink"/>
                <w:rFonts w:cs="Arial"/>
                <w:sz w:val="16"/>
                <w:szCs w:val="16"/>
              </w:rPr>
            </w:pPr>
            <w:hyperlink r:id="rId19" w:history="1">
              <w:r w:rsidR="005C1AAC" w:rsidRPr="000D5214">
                <w:rPr>
                  <w:rStyle w:val="Hyperlink"/>
                  <w:rFonts w:cs="Arial"/>
                  <w:i/>
                  <w:sz w:val="16"/>
                  <w:szCs w:val="16"/>
                </w:rPr>
                <w:t>NIST Definition of Cloud Computing</w:t>
              </w:r>
            </w:hyperlink>
          </w:p>
        </w:tc>
        <w:tc>
          <w:tcPr>
            <w:tcW w:w="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A655DC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A655DD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A655DE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A655DF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24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A655E0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A655E1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A655E2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A655E3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A655E4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93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A655E5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5C1AAC" w:rsidRPr="000D5214" w14:paraId="0EA655F2" w14:textId="77777777" w:rsidTr="00A869E6">
        <w:trPr>
          <w:trHeight w:val="567"/>
        </w:trPr>
        <w:tc>
          <w:tcPr>
            <w:tcW w:w="538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A655E7" w14:textId="77777777" w:rsidR="005C1AAC" w:rsidRPr="000D5214" w:rsidRDefault="005D6A48" w:rsidP="00A869E6">
            <w:pPr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hyperlink r:id="rId20" w:history="1">
              <w:r w:rsidR="005C1AAC" w:rsidRPr="000D5214">
                <w:rPr>
                  <w:rStyle w:val="Hyperlink"/>
                  <w:rFonts w:cs="Arial"/>
                  <w:i/>
                  <w:sz w:val="16"/>
                  <w:szCs w:val="16"/>
                </w:rPr>
                <w:t>Cloud Computing Security Considerations</w:t>
              </w:r>
            </w:hyperlink>
            <w:r w:rsidR="005C1AAC" w:rsidRPr="000D5214">
              <w:rPr>
                <w:rFonts w:cs="Arial"/>
                <w:sz w:val="16"/>
                <w:szCs w:val="16"/>
              </w:rPr>
              <w:t>, [</w:t>
            </w:r>
            <w:r w:rsidR="00BC3056" w:rsidRPr="00BC3056">
              <w:rPr>
                <w:rFonts w:cs="Arial"/>
                <w:sz w:val="16"/>
                <w:szCs w:val="16"/>
              </w:rPr>
              <w:t>ACSC</w:t>
            </w:r>
            <w:r w:rsidR="005C1AAC" w:rsidRPr="000D5214">
              <w:rPr>
                <w:rFonts w:cs="Arial"/>
                <w:sz w:val="16"/>
                <w:szCs w:val="16"/>
              </w:rPr>
              <w:t>] – risk-based approach to assessment of the viability of using cloud services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E8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E9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EA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EB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EC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ED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EE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EF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F0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F1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5C1AAC" w:rsidRPr="000D5214" w14:paraId="0EA655FE" w14:textId="77777777" w:rsidTr="00A869E6">
        <w:trPr>
          <w:trHeight w:val="567"/>
        </w:trPr>
        <w:tc>
          <w:tcPr>
            <w:tcW w:w="538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A655F3" w14:textId="77777777" w:rsidR="005C1AAC" w:rsidRPr="000D5214" w:rsidRDefault="005D6A48" w:rsidP="00A869E6">
            <w:pPr>
              <w:spacing w:before="60" w:after="60" w:line="276" w:lineRule="auto"/>
              <w:rPr>
                <w:sz w:val="16"/>
                <w:szCs w:val="16"/>
              </w:rPr>
            </w:pPr>
            <w:hyperlink r:id="rId21" w:history="1">
              <w:r w:rsidR="005C1AAC" w:rsidRPr="000D5214">
                <w:rPr>
                  <w:rStyle w:val="Hyperlink"/>
                  <w:sz w:val="16"/>
                  <w:szCs w:val="16"/>
                </w:rPr>
                <w:t>Cloud Computing Security for Tenants</w:t>
              </w:r>
            </w:hyperlink>
            <w:r w:rsidR="005C1AAC" w:rsidRPr="000D5214">
              <w:rPr>
                <w:sz w:val="16"/>
                <w:szCs w:val="16"/>
              </w:rPr>
              <w:t xml:space="preserve">, </w:t>
            </w:r>
            <w:r w:rsidR="005C1AAC" w:rsidRPr="000D5214">
              <w:rPr>
                <w:rFonts w:cs="Arial"/>
                <w:sz w:val="16"/>
                <w:szCs w:val="16"/>
              </w:rPr>
              <w:t>[</w:t>
            </w:r>
            <w:r w:rsidR="00BC3056" w:rsidRPr="00BC3056">
              <w:rPr>
                <w:rFonts w:cs="Arial"/>
                <w:sz w:val="16"/>
                <w:szCs w:val="16"/>
              </w:rPr>
              <w:t>ACSC</w:t>
            </w:r>
            <w:r w:rsidR="005C1AAC" w:rsidRPr="000D5214">
              <w:rPr>
                <w:rFonts w:cs="Arial"/>
                <w:sz w:val="16"/>
                <w:szCs w:val="16"/>
              </w:rPr>
              <w:t xml:space="preserve">] - </w:t>
            </w:r>
            <w:r w:rsidR="005C1AAC" w:rsidRPr="000D5214">
              <w:rPr>
                <w:sz w:val="16"/>
                <w:szCs w:val="16"/>
              </w:rPr>
              <w:t>risk-based approach to assessment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F4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F5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F6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F7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24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F8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F9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FA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FB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FC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5FD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5C1AAC" w:rsidRPr="000D5214" w14:paraId="0EA6560A" w14:textId="77777777" w:rsidTr="00A869E6">
        <w:trPr>
          <w:trHeight w:val="567"/>
        </w:trPr>
        <w:tc>
          <w:tcPr>
            <w:tcW w:w="538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A655FF" w14:textId="77777777" w:rsidR="005C1AAC" w:rsidRPr="000D5214" w:rsidRDefault="005D6A48" w:rsidP="00A869E6">
            <w:pPr>
              <w:spacing w:before="60" w:after="60" w:line="276" w:lineRule="auto"/>
              <w:rPr>
                <w:sz w:val="16"/>
                <w:szCs w:val="16"/>
              </w:rPr>
            </w:pPr>
            <w:hyperlink r:id="rId22" w:history="1">
              <w:r w:rsidR="005C1AAC" w:rsidRPr="000D5214">
                <w:rPr>
                  <w:rStyle w:val="Hyperlink"/>
                  <w:sz w:val="16"/>
                  <w:szCs w:val="16"/>
                </w:rPr>
                <w:t>ASD Certified Cloud Services</w:t>
              </w:r>
            </w:hyperlink>
            <w:r w:rsidR="005C1AAC" w:rsidRPr="000D5214">
              <w:rPr>
                <w:sz w:val="16"/>
                <w:szCs w:val="16"/>
              </w:rPr>
              <w:t xml:space="preserve">, </w:t>
            </w:r>
            <w:r w:rsidR="00BC3056">
              <w:rPr>
                <w:rFonts w:cs="Arial"/>
                <w:sz w:val="16"/>
                <w:szCs w:val="16"/>
              </w:rPr>
              <w:t>(</w:t>
            </w:r>
            <w:r w:rsidR="00BC3056" w:rsidRPr="00BC3056">
              <w:rPr>
                <w:rFonts w:cs="Arial"/>
                <w:sz w:val="16"/>
                <w:szCs w:val="16"/>
              </w:rPr>
              <w:t>ACSC</w:t>
            </w:r>
            <w:r w:rsidR="005C1AAC" w:rsidRPr="000D5214">
              <w:rPr>
                <w:rFonts w:cs="Arial"/>
                <w:sz w:val="16"/>
                <w:szCs w:val="16"/>
              </w:rPr>
              <w:t>] – list of Australian Government certified cloud service providers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00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01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02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03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04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05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06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07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08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09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5C1AAC" w:rsidRPr="000D5214" w14:paraId="0EA65616" w14:textId="77777777" w:rsidTr="00A869E6">
        <w:trPr>
          <w:trHeight w:val="567"/>
        </w:trPr>
        <w:tc>
          <w:tcPr>
            <w:tcW w:w="538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A6560B" w14:textId="77777777" w:rsidR="005C1AAC" w:rsidRPr="000D5214" w:rsidRDefault="005D6A48" w:rsidP="00A869E6">
            <w:pPr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>
              <w:rPr>
                <w:rStyle w:val="Hyperlink"/>
                <w:rFonts w:cs="Arial"/>
                <w:i/>
                <w:sz w:val="16"/>
                <w:szCs w:val="16"/>
              </w:rPr>
              <w:fldChar w:fldCharType="begin"/>
            </w:r>
            <w:r>
              <w:rPr>
                <w:rStyle w:val="Hyperlink"/>
                <w:rFonts w:cs="Arial"/>
                <w:i/>
                <w:sz w:val="16"/>
                <w:szCs w:val="16"/>
              </w:rPr>
              <w:instrText xml:space="preserve"> HYPERLINK "http://ict-industry-reports.com.au/wp-content/uploads/sites/4/2013/05/2013-Negotiating-The-Cloud-Legal-Assues-v1.1-AGIMO-Feb-2013.pdf" </w:instrText>
            </w:r>
            <w:bookmarkStart w:id="1" w:name="_GoBack"/>
            <w:bookmarkEnd w:id="1"/>
            <w:r>
              <w:rPr>
                <w:rStyle w:val="Hyperlink"/>
                <w:rFonts w:cs="Arial"/>
                <w:i/>
                <w:sz w:val="16"/>
                <w:szCs w:val="16"/>
              </w:rPr>
              <w:fldChar w:fldCharType="separate"/>
            </w:r>
            <w:r w:rsidR="005C1AAC" w:rsidRPr="00CE1EFF">
              <w:rPr>
                <w:rStyle w:val="Hyperlink"/>
                <w:rFonts w:cs="Arial"/>
                <w:i/>
                <w:sz w:val="16"/>
                <w:szCs w:val="16"/>
              </w:rPr>
              <w:t>Negotiating the Cloud – Legal Issues in Cloud Computing Agreements</w:t>
            </w:r>
            <w:r w:rsidR="005C1AAC" w:rsidRPr="00CE1EFF">
              <w:rPr>
                <w:rStyle w:val="Hyperlink"/>
                <w:rFonts w:cs="Arial"/>
                <w:sz w:val="16"/>
                <w:szCs w:val="16"/>
              </w:rPr>
              <w:t>,</w:t>
            </w:r>
            <w:r>
              <w:rPr>
                <w:rStyle w:val="Hyperlink"/>
                <w:rFonts w:cs="Arial"/>
                <w:sz w:val="16"/>
                <w:szCs w:val="16"/>
              </w:rPr>
              <w:fldChar w:fldCharType="end"/>
            </w:r>
            <w:r w:rsidR="005C1AAC" w:rsidRPr="000D5214">
              <w:rPr>
                <w:rFonts w:cs="Arial"/>
                <w:sz w:val="16"/>
                <w:szCs w:val="16"/>
              </w:rPr>
              <w:t xml:space="preserve"> Australian Government Department of Finance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0C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0D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0E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0F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10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11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12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13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14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15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5C1AAC" w:rsidRPr="000D5214" w14:paraId="0EA65622" w14:textId="77777777" w:rsidTr="00A869E6">
        <w:trPr>
          <w:trHeight w:val="567"/>
        </w:trPr>
        <w:tc>
          <w:tcPr>
            <w:tcW w:w="538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A65617" w14:textId="77777777" w:rsidR="005C1AAC" w:rsidRPr="000D5214" w:rsidRDefault="006435B8" w:rsidP="00A869E6">
            <w:pPr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hyperlink r:id="rId23" w:history="1">
              <w:r w:rsidR="005C1AAC" w:rsidRPr="000D5214">
                <w:rPr>
                  <w:rStyle w:val="Hyperlink"/>
                  <w:rFonts w:cs="Arial"/>
                  <w:i/>
                  <w:sz w:val="16"/>
                  <w:szCs w:val="16"/>
                </w:rPr>
                <w:t>Security and Resilience in Governmental Clouds</w:t>
              </w:r>
            </w:hyperlink>
            <w:r w:rsidR="005C1AAC" w:rsidRPr="000D5214">
              <w:rPr>
                <w:rFonts w:cs="Arial"/>
                <w:i/>
                <w:sz w:val="16"/>
                <w:szCs w:val="16"/>
              </w:rPr>
              <w:t xml:space="preserve">, </w:t>
            </w:r>
            <w:r w:rsidR="005C1AAC" w:rsidRPr="000D5214">
              <w:rPr>
                <w:rFonts w:cs="Arial"/>
                <w:sz w:val="16"/>
                <w:szCs w:val="16"/>
              </w:rPr>
              <w:t>[</w:t>
            </w:r>
            <w:r w:rsidR="005C1AAC" w:rsidRPr="00BC3056">
              <w:rPr>
                <w:rFonts w:cs="Arial"/>
                <w:sz w:val="16"/>
                <w:szCs w:val="16"/>
              </w:rPr>
              <w:t>ENISA</w:t>
            </w:r>
            <w:r w:rsidR="005C1AAC" w:rsidRPr="000D5214">
              <w:rPr>
                <w:rFonts w:cs="Arial"/>
                <w:sz w:val="16"/>
                <w:szCs w:val="16"/>
              </w:rPr>
              <w:t xml:space="preserve">] - </w:t>
            </w:r>
            <w:r w:rsidR="005C1AAC" w:rsidRPr="000D5214">
              <w:rPr>
                <w:rFonts w:cs="Arial"/>
                <w:sz w:val="16"/>
                <w:szCs w:val="16"/>
                <w:lang w:val="en"/>
              </w:rPr>
              <w:t>decision-making model to drive identification of most suitable architectural solution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18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19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1A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1B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1C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1D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1E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1F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20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93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21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5C1AAC" w:rsidRPr="000D5214" w14:paraId="0EA6562E" w14:textId="77777777" w:rsidTr="00A869E6">
        <w:trPr>
          <w:trHeight w:val="567"/>
        </w:trPr>
        <w:tc>
          <w:tcPr>
            <w:tcW w:w="538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A65623" w14:textId="77777777" w:rsidR="005C1AAC" w:rsidRPr="000D5214" w:rsidRDefault="005D6A48" w:rsidP="00A869E6">
            <w:pPr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hyperlink r:id="rId24" w:history="1">
              <w:r w:rsidR="0010113E">
                <w:rPr>
                  <w:rStyle w:val="Hyperlink"/>
                  <w:rFonts w:cs="Arial"/>
                  <w:i/>
                  <w:sz w:val="16"/>
                  <w:szCs w:val="16"/>
                </w:rPr>
                <w:t>Cloud Computing Risk Assessment</w:t>
              </w:r>
            </w:hyperlink>
            <w:r w:rsidR="005C1AAC" w:rsidRPr="000D5214">
              <w:rPr>
                <w:rFonts w:cs="Arial"/>
                <w:i/>
                <w:sz w:val="16"/>
                <w:szCs w:val="16"/>
              </w:rPr>
              <w:t xml:space="preserve">, </w:t>
            </w:r>
            <w:r w:rsidR="005C1AAC" w:rsidRPr="000D5214">
              <w:rPr>
                <w:rFonts w:cs="Arial"/>
                <w:sz w:val="16"/>
                <w:szCs w:val="16"/>
              </w:rPr>
              <w:t>[</w:t>
            </w:r>
            <w:r w:rsidR="005C1AAC" w:rsidRPr="0010113E">
              <w:rPr>
                <w:rFonts w:cs="Arial"/>
                <w:sz w:val="16"/>
                <w:szCs w:val="16"/>
              </w:rPr>
              <w:t>ENISA</w:t>
            </w:r>
            <w:r w:rsidR="005C1AAC" w:rsidRPr="000D5214">
              <w:rPr>
                <w:rFonts w:cs="Arial"/>
                <w:sz w:val="16"/>
                <w:szCs w:val="16"/>
              </w:rPr>
              <w:t xml:space="preserve">].- </w:t>
            </w:r>
            <w:r w:rsidR="005C1AAC" w:rsidRPr="000D5214">
              <w:rPr>
                <w:rFonts w:cs="Arial"/>
                <w:sz w:val="16"/>
                <w:szCs w:val="16"/>
                <w:lang w:val="en"/>
              </w:rPr>
              <w:t>risks assessment on cloud computing business model and technologies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24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25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26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27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28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29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2A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2B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2C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2D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5C1AAC" w:rsidRPr="000D5214" w14:paraId="0EA6563A" w14:textId="77777777" w:rsidTr="00A869E6">
        <w:trPr>
          <w:trHeight w:val="567"/>
        </w:trPr>
        <w:tc>
          <w:tcPr>
            <w:tcW w:w="538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A6562F" w14:textId="77777777" w:rsidR="005C1AAC" w:rsidRPr="000D5214" w:rsidRDefault="005D6A48" w:rsidP="00A869E6">
            <w:pPr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hyperlink r:id="rId25" w:history="1">
              <w:r w:rsidR="005C1AAC" w:rsidRPr="000D5214">
                <w:rPr>
                  <w:rStyle w:val="Hyperlink"/>
                  <w:rFonts w:cs="Arial"/>
                  <w:i/>
                  <w:sz w:val="16"/>
                  <w:szCs w:val="16"/>
                </w:rPr>
                <w:t>Advice on managing the record-keeping risks associated with cloud computing</w:t>
              </w:r>
            </w:hyperlink>
            <w:r w:rsidR="005C1AAC" w:rsidRPr="000D5214">
              <w:rPr>
                <w:rFonts w:cs="Arial"/>
                <w:i/>
                <w:sz w:val="16"/>
                <w:szCs w:val="16"/>
              </w:rPr>
              <w:t>,</w:t>
            </w:r>
            <w:r w:rsidR="005C1AAC" w:rsidRPr="000D5214">
              <w:rPr>
                <w:rFonts w:cs="Arial"/>
                <w:sz w:val="16"/>
                <w:szCs w:val="16"/>
              </w:rPr>
              <w:t xml:space="preserve"> Australasian Digital Recordkeeping Initiative [</w:t>
            </w:r>
            <w:r w:rsidR="005C1AAC" w:rsidRPr="0010113E">
              <w:rPr>
                <w:rFonts w:cs="Arial"/>
                <w:sz w:val="16"/>
                <w:szCs w:val="16"/>
              </w:rPr>
              <w:t>ADRI</w:t>
            </w:r>
            <w:r w:rsidR="005C1AAC" w:rsidRPr="000D5214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30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31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32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33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34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35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36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37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38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39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</w:tr>
      <w:tr w:rsidR="005C1AAC" w:rsidRPr="000D5214" w14:paraId="0EA65646" w14:textId="77777777" w:rsidTr="00A869E6">
        <w:trPr>
          <w:trHeight w:val="567"/>
        </w:trPr>
        <w:tc>
          <w:tcPr>
            <w:tcW w:w="5386" w:type="dxa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A6563B" w14:textId="77777777" w:rsidR="005C1AAC" w:rsidRPr="000D5214" w:rsidRDefault="005D6A48" w:rsidP="00A869E6">
            <w:pPr>
              <w:spacing w:before="60" w:after="60" w:line="276" w:lineRule="auto"/>
              <w:rPr>
                <w:sz w:val="16"/>
                <w:szCs w:val="16"/>
              </w:rPr>
            </w:pPr>
            <w:hyperlink r:id="rId26" w:history="1">
              <w:r w:rsidR="005C1AAC" w:rsidRPr="00317FD5">
                <w:rPr>
                  <w:rStyle w:val="Hyperlink"/>
                  <w:rFonts w:cs="Arial"/>
                  <w:i/>
                  <w:sz w:val="16"/>
                  <w:szCs w:val="16"/>
                </w:rPr>
                <w:t>Cloud Computing and Information Management</w:t>
              </w:r>
              <w:r w:rsidR="005C1AAC" w:rsidRPr="00317FD5">
                <w:rPr>
                  <w:rStyle w:val="Hyperlink"/>
                  <w:rFonts w:cs="Arial"/>
                  <w:sz w:val="16"/>
                  <w:szCs w:val="16"/>
                </w:rPr>
                <w:t>,</w:t>
              </w:r>
            </w:hyperlink>
            <w:r w:rsidR="005C1AAC" w:rsidRPr="000D5214">
              <w:rPr>
                <w:rFonts w:cs="Arial"/>
                <w:sz w:val="16"/>
                <w:szCs w:val="16"/>
              </w:rPr>
              <w:t xml:space="preserve"> National Archives of Australia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3C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3D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3E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3F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40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41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42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43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44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65645" w14:textId="77777777" w:rsidR="005C1AAC" w:rsidRPr="000D5214" w:rsidRDefault="005C1AAC" w:rsidP="00A869E6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0D5214">
              <w:rPr>
                <w:rFonts w:cs="Arial"/>
                <w:sz w:val="24"/>
              </w:rPr>
              <w:sym w:font="Wingdings 2" w:char="F050"/>
            </w:r>
          </w:p>
        </w:tc>
      </w:tr>
    </w:tbl>
    <w:p w14:paraId="0EA65647" w14:textId="77777777" w:rsidR="009D7060" w:rsidRPr="00A869E6" w:rsidRDefault="009D7060" w:rsidP="00A869E6">
      <w:pPr>
        <w:spacing w:after="0" w:line="240" w:lineRule="auto"/>
        <w:rPr>
          <w:rStyle w:val="Hyperlink"/>
          <w:color w:val="auto"/>
          <w:sz w:val="8"/>
        </w:rPr>
      </w:pPr>
    </w:p>
    <w:sectPr w:rsidR="009D7060" w:rsidRPr="00A869E6" w:rsidSect="00A869E6">
      <w:headerReference w:type="first" r:id="rId27"/>
      <w:pgSz w:w="16840" w:h="11900" w:orient="landscape"/>
      <w:pgMar w:top="0" w:right="1418" w:bottom="1127" w:left="426" w:header="0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6564C" w14:textId="77777777" w:rsidR="006435B8" w:rsidRDefault="006435B8" w:rsidP="00AF7F16">
      <w:r>
        <w:separator/>
      </w:r>
    </w:p>
  </w:endnote>
  <w:endnote w:type="continuationSeparator" w:id="0">
    <w:p w14:paraId="0EA6564D" w14:textId="77777777" w:rsidR="006435B8" w:rsidRDefault="006435B8" w:rsidP="00AF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737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5670"/>
    </w:tblGrid>
    <w:tr w:rsidR="00084360" w14:paraId="0EA65653" w14:textId="77777777" w:rsidTr="00080651">
      <w:trPr>
        <w:trHeight w:val="290"/>
      </w:trPr>
      <w:tc>
        <w:tcPr>
          <w:tcW w:w="1702" w:type="dxa"/>
          <w:shd w:val="clear" w:color="auto" w:fill="004B88" w:themeFill="text2"/>
          <w:vAlign w:val="center"/>
        </w:tcPr>
        <w:p w14:paraId="0EA65651" w14:textId="77777777" w:rsidR="00084360" w:rsidRPr="008011DC" w:rsidRDefault="00084360" w:rsidP="00084360">
          <w:pPr>
            <w:pStyle w:val="Pagenumbers"/>
          </w:pPr>
          <w:r w:rsidRPr="008011DC">
            <w:t xml:space="preserve">Page </w:t>
          </w:r>
          <w:r w:rsidRPr="008011DC">
            <w:fldChar w:fldCharType="begin"/>
          </w:r>
          <w:r w:rsidRPr="008011DC">
            <w:instrText xml:space="preserve"> PAGE </w:instrText>
          </w:r>
          <w:r w:rsidRPr="008011DC">
            <w:fldChar w:fldCharType="separate"/>
          </w:r>
          <w:r w:rsidR="005079A5">
            <w:rPr>
              <w:noProof/>
            </w:rPr>
            <w:t>2</w:t>
          </w:r>
          <w:r w:rsidRPr="008011DC">
            <w:fldChar w:fldCharType="end"/>
          </w:r>
          <w:r w:rsidRPr="008011DC">
            <w:t xml:space="preserve"> of </w:t>
          </w:r>
          <w:r w:rsidR="00E44BBB">
            <w:rPr>
              <w:noProof/>
            </w:rPr>
            <w:fldChar w:fldCharType="begin"/>
          </w:r>
          <w:r w:rsidR="00E44BBB">
            <w:rPr>
              <w:noProof/>
            </w:rPr>
            <w:instrText xml:space="preserve"> NUMPAGES </w:instrText>
          </w:r>
          <w:r w:rsidR="00E44BBB">
            <w:rPr>
              <w:noProof/>
            </w:rPr>
            <w:fldChar w:fldCharType="separate"/>
          </w:r>
          <w:r w:rsidR="005079A5">
            <w:rPr>
              <w:noProof/>
            </w:rPr>
            <w:t>2</w:t>
          </w:r>
          <w:r w:rsidR="00E44BBB">
            <w:rPr>
              <w:noProof/>
            </w:rPr>
            <w:fldChar w:fldCharType="end"/>
          </w:r>
        </w:p>
      </w:tc>
      <w:tc>
        <w:tcPr>
          <w:tcW w:w="5670" w:type="dxa"/>
          <w:shd w:val="clear" w:color="auto" w:fill="004B88" w:themeFill="text2"/>
          <w:vAlign w:val="center"/>
        </w:tcPr>
        <w:p w14:paraId="0EA65652" w14:textId="77777777" w:rsidR="00084360" w:rsidRPr="008011DC" w:rsidRDefault="00084360" w:rsidP="00084360">
          <w:pPr>
            <w:pStyle w:val="Pagenumbers"/>
          </w:pPr>
        </w:p>
      </w:tc>
    </w:tr>
  </w:tbl>
  <w:p w14:paraId="0EA65654" w14:textId="77777777" w:rsidR="003B5AC0" w:rsidRDefault="00145ABA" w:rsidP="00545EC0">
    <w:pPr>
      <w:pStyle w:val="Footer"/>
      <w:tabs>
        <w:tab w:val="clear" w:pos="4320"/>
        <w:tab w:val="clear" w:pos="8640"/>
      </w:tabs>
      <w:ind w:left="-993" w:right="-1127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EA6565D" wp14:editId="0EA6565E">
          <wp:simplePos x="0" y="0"/>
          <wp:positionH relativeFrom="margin">
            <wp:posOffset>85725</wp:posOffset>
          </wp:positionH>
          <wp:positionV relativeFrom="paragraph">
            <wp:posOffset>-409575</wp:posOffset>
          </wp:positionV>
          <wp:extent cx="6679726" cy="795020"/>
          <wp:effectExtent l="0" t="0" r="6985" b="508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ooter-DPC 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79726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699" w:rsidRPr="0069384E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A6565F" wp14:editId="0EA65660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040000" cy="360000"/>
              <wp:effectExtent l="0" t="0" r="8255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A6566C" w14:textId="77777777" w:rsidR="00934699" w:rsidRDefault="00934699" w:rsidP="00934699">
                          <w:pPr>
                            <w:jc w:val="center"/>
                          </w:pPr>
                          <w:r w:rsidRPr="007B4FAA">
                            <w:rPr>
                              <w:b/>
                              <w:color w:val="C00000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656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396.85pt;height:28.3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" filled="f" stroked="f" strokeweight=".5pt">
              <v:textbox inset="0,0,0,0">
                <w:txbxContent>
                  <w:p w14:paraId="0EA6566C" w14:textId="77777777" w:rsidR="00934699" w:rsidRDefault="00934699" w:rsidP="00934699">
                    <w:pPr>
                      <w:jc w:val="center"/>
                    </w:pPr>
                    <w:r w:rsidRPr="007B4FAA">
                      <w:rPr>
                        <w:b/>
                        <w:color w:val="C00000"/>
                        <w:szCs w:val="18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2"/>
      <w:tblW w:w="1176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10064"/>
    </w:tblGrid>
    <w:tr w:rsidR="003E6171" w:rsidRPr="00084360" w14:paraId="0EA65658" w14:textId="77777777" w:rsidTr="00846AEC">
      <w:trPr>
        <w:trHeight w:val="290"/>
      </w:trPr>
      <w:tc>
        <w:tcPr>
          <w:tcW w:w="1702" w:type="dxa"/>
          <w:shd w:val="clear" w:color="auto" w:fill="004B88" w:themeFill="text2"/>
          <w:vAlign w:val="center"/>
        </w:tcPr>
        <w:p w14:paraId="0EA65656" w14:textId="77777777" w:rsidR="00084360" w:rsidRPr="00084360" w:rsidRDefault="00084360" w:rsidP="00084360">
          <w:pPr>
            <w:spacing w:after="0" w:line="240" w:lineRule="auto"/>
            <w:rPr>
              <w:sz w:val="18"/>
              <w:szCs w:val="18"/>
            </w:rPr>
          </w:pPr>
          <w:r w:rsidRPr="00084360">
            <w:rPr>
              <w:sz w:val="18"/>
              <w:szCs w:val="18"/>
            </w:rPr>
            <w:t xml:space="preserve">Page </w:t>
          </w:r>
          <w:r w:rsidRPr="00084360">
            <w:rPr>
              <w:sz w:val="18"/>
              <w:szCs w:val="18"/>
            </w:rPr>
            <w:fldChar w:fldCharType="begin"/>
          </w:r>
          <w:r w:rsidRPr="00084360">
            <w:rPr>
              <w:sz w:val="18"/>
              <w:szCs w:val="18"/>
            </w:rPr>
            <w:instrText xml:space="preserve"> PAGE </w:instrText>
          </w:r>
          <w:r w:rsidRPr="00084360">
            <w:rPr>
              <w:sz w:val="18"/>
              <w:szCs w:val="18"/>
            </w:rPr>
            <w:fldChar w:fldCharType="separate"/>
          </w:r>
          <w:r w:rsidR="005079A5">
            <w:rPr>
              <w:noProof/>
              <w:sz w:val="18"/>
              <w:szCs w:val="18"/>
            </w:rPr>
            <w:t>1</w:t>
          </w:r>
          <w:r w:rsidRPr="00084360">
            <w:rPr>
              <w:sz w:val="18"/>
              <w:szCs w:val="18"/>
            </w:rPr>
            <w:fldChar w:fldCharType="end"/>
          </w:r>
          <w:r w:rsidRPr="00084360">
            <w:rPr>
              <w:sz w:val="18"/>
              <w:szCs w:val="18"/>
            </w:rPr>
            <w:t xml:space="preserve"> of </w:t>
          </w:r>
          <w:r w:rsidRPr="00084360">
            <w:rPr>
              <w:sz w:val="18"/>
              <w:szCs w:val="18"/>
            </w:rPr>
            <w:fldChar w:fldCharType="begin"/>
          </w:r>
          <w:r w:rsidRPr="00084360">
            <w:rPr>
              <w:sz w:val="18"/>
              <w:szCs w:val="18"/>
            </w:rPr>
            <w:instrText xml:space="preserve"> NUMPAGES </w:instrText>
          </w:r>
          <w:r w:rsidRPr="00084360">
            <w:rPr>
              <w:sz w:val="18"/>
              <w:szCs w:val="18"/>
            </w:rPr>
            <w:fldChar w:fldCharType="separate"/>
          </w:r>
          <w:r w:rsidR="005079A5">
            <w:rPr>
              <w:noProof/>
              <w:sz w:val="18"/>
              <w:szCs w:val="18"/>
            </w:rPr>
            <w:t>2</w:t>
          </w:r>
          <w:r w:rsidRPr="00084360">
            <w:rPr>
              <w:sz w:val="18"/>
              <w:szCs w:val="18"/>
            </w:rPr>
            <w:fldChar w:fldCharType="end"/>
          </w:r>
        </w:p>
      </w:tc>
      <w:tc>
        <w:tcPr>
          <w:tcW w:w="10064" w:type="dxa"/>
          <w:shd w:val="clear" w:color="auto" w:fill="004B88" w:themeFill="text2"/>
          <w:vAlign w:val="center"/>
        </w:tcPr>
        <w:p w14:paraId="0EA65657" w14:textId="77777777" w:rsidR="00084360" w:rsidRPr="00084360" w:rsidRDefault="00084360" w:rsidP="00084360">
          <w:pPr>
            <w:spacing w:after="0" w:line="240" w:lineRule="auto"/>
            <w:rPr>
              <w:sz w:val="18"/>
              <w:szCs w:val="18"/>
            </w:rPr>
          </w:pPr>
        </w:p>
      </w:tc>
    </w:tr>
  </w:tbl>
  <w:p w14:paraId="0EA65659" w14:textId="77777777" w:rsidR="003B5AC0" w:rsidRDefault="00846AEC" w:rsidP="00AC730E">
    <w:pPr>
      <w:pStyle w:val="Footer"/>
      <w:tabs>
        <w:tab w:val="clear" w:pos="4320"/>
        <w:tab w:val="clear" w:pos="8640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0EA65665" wp14:editId="0EA65666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6679565" cy="795020"/>
          <wp:effectExtent l="0" t="0" r="6985" b="508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ooter-DPC 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7956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699" w:rsidRPr="0069384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A65667" wp14:editId="0EA65668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040000" cy="360000"/>
              <wp:effectExtent l="0" t="0" r="8255" b="254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A6566E" w14:textId="77777777" w:rsidR="00934699" w:rsidRDefault="00934699" w:rsidP="00934699">
                          <w:pPr>
                            <w:jc w:val="center"/>
                          </w:pPr>
                          <w:r w:rsidRPr="007B4FAA">
                            <w:rPr>
                              <w:b/>
                              <w:color w:val="C00000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656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396.85pt;height:28.3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" filled="f" stroked="f" strokeweight=".5pt">
              <v:textbox inset="0,0,0,0">
                <w:txbxContent>
                  <w:p w14:paraId="0EA6566E" w14:textId="77777777" w:rsidR="00934699" w:rsidRDefault="00934699" w:rsidP="00934699">
                    <w:pPr>
                      <w:jc w:val="center"/>
                    </w:pPr>
                    <w:r w:rsidRPr="007B4FAA">
                      <w:rPr>
                        <w:b/>
                        <w:color w:val="C00000"/>
                        <w:szCs w:val="18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6564A" w14:textId="77777777" w:rsidR="006435B8" w:rsidRDefault="006435B8" w:rsidP="00AF7F16">
      <w:r>
        <w:separator/>
      </w:r>
    </w:p>
  </w:footnote>
  <w:footnote w:type="continuationSeparator" w:id="0">
    <w:p w14:paraId="0EA6564B" w14:textId="77777777" w:rsidR="006435B8" w:rsidRDefault="006435B8" w:rsidP="00AF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6564F" w14:textId="77777777" w:rsidR="00934699" w:rsidRDefault="00934699">
    <w:pPr>
      <w:pStyle w:val="Header"/>
    </w:pPr>
    <w:r w:rsidRPr="0069384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A6565B" wp14:editId="0EA6565C">
              <wp:simplePos x="0" y="0"/>
              <wp:positionH relativeFrom="margin">
                <wp:align>center</wp:align>
              </wp:positionH>
              <wp:positionV relativeFrom="topMargin">
                <wp:posOffset>171450</wp:posOffset>
              </wp:positionV>
              <wp:extent cx="5040000" cy="360000"/>
              <wp:effectExtent l="0" t="0" r="8255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A6566B" w14:textId="77777777" w:rsidR="00934699" w:rsidRDefault="00934699" w:rsidP="00934699">
                          <w:pPr>
                            <w:jc w:val="center"/>
                          </w:pPr>
                          <w:r w:rsidRPr="007B4FAA">
                            <w:rPr>
                              <w:b/>
                              <w:color w:val="C00000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656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3.5pt;width:396.85pt;height:28.3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" filled="f" stroked="f" strokeweight=".5pt">
              <v:textbox inset="0,0,0,0">
                <w:txbxContent>
                  <w:p w14:paraId="0EA6566B" w14:textId="77777777" w:rsidR="00934699" w:rsidRDefault="00934699" w:rsidP="00934699">
                    <w:pPr>
                      <w:jc w:val="center"/>
                    </w:pPr>
                    <w:r w:rsidRPr="007B4FAA">
                      <w:rPr>
                        <w:b/>
                        <w:color w:val="C00000"/>
                        <w:szCs w:val="18"/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65655" w14:textId="77777777" w:rsidR="003B5AC0" w:rsidRDefault="00934699" w:rsidP="00545EC0">
    <w:pPr>
      <w:pStyle w:val="Header"/>
      <w:tabs>
        <w:tab w:val="clear" w:pos="8640"/>
      </w:tabs>
      <w:ind w:left="-993"/>
    </w:pPr>
    <w:r w:rsidRPr="00934699">
      <w:rPr>
        <w:noProof/>
      </w:rPr>
      <w:drawing>
        <wp:anchor distT="0" distB="0" distL="114300" distR="114300" simplePos="0" relativeHeight="251663360" behindDoc="0" locked="0" layoutInCell="1" allowOverlap="1" wp14:anchorId="0EA65661" wp14:editId="0EA65662">
          <wp:simplePos x="0" y="0"/>
          <wp:positionH relativeFrom="margin">
            <wp:posOffset>-733425</wp:posOffset>
          </wp:positionH>
          <wp:positionV relativeFrom="paragraph">
            <wp:posOffset>306705</wp:posOffset>
          </wp:positionV>
          <wp:extent cx="7472045" cy="13716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04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469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A65663" wp14:editId="0EA65664">
              <wp:simplePos x="0" y="0"/>
              <wp:positionH relativeFrom="page">
                <wp:posOffset>1277620</wp:posOffset>
              </wp:positionH>
              <wp:positionV relativeFrom="topMargin">
                <wp:posOffset>190500</wp:posOffset>
              </wp:positionV>
              <wp:extent cx="5040000" cy="360000"/>
              <wp:effectExtent l="0" t="0" r="8255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A6566D" w14:textId="77777777" w:rsidR="00934699" w:rsidRDefault="00934699" w:rsidP="00934699">
                          <w:pPr>
                            <w:jc w:val="center"/>
                          </w:pPr>
                          <w:r w:rsidRPr="007B4FAA">
                            <w:rPr>
                              <w:b/>
                              <w:color w:val="C00000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656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00.6pt;margin-top:15pt;width:396.8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" filled="f" stroked="f" strokeweight=".5pt">
              <v:textbox inset="0,0,0,0">
                <w:txbxContent>
                  <w:p w14:paraId="0EA6566D" w14:textId="77777777" w:rsidR="00934699" w:rsidRDefault="00934699" w:rsidP="00934699">
                    <w:pPr>
                      <w:jc w:val="center"/>
                    </w:pPr>
                    <w:r w:rsidRPr="007B4FAA">
                      <w:rPr>
                        <w:b/>
                        <w:color w:val="C00000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6565A" w14:textId="77777777" w:rsidR="00A869E6" w:rsidRDefault="00934699" w:rsidP="00545EC0">
    <w:pPr>
      <w:pStyle w:val="Header"/>
      <w:tabs>
        <w:tab w:val="clear" w:pos="8640"/>
      </w:tabs>
      <w:ind w:left="-993"/>
    </w:pPr>
    <w:r w:rsidRPr="0069384E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EA65669" wp14:editId="0EA6566A">
              <wp:simplePos x="0" y="0"/>
              <wp:positionH relativeFrom="page">
                <wp:align>center</wp:align>
              </wp:positionH>
              <wp:positionV relativeFrom="topMargin">
                <wp:posOffset>171450</wp:posOffset>
              </wp:positionV>
              <wp:extent cx="5040000" cy="360000"/>
              <wp:effectExtent l="0" t="0" r="8255" b="25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A6566F" w14:textId="77777777" w:rsidR="00934699" w:rsidRDefault="00934699" w:rsidP="00934699">
                          <w:pPr>
                            <w:jc w:val="center"/>
                          </w:pPr>
                          <w:r w:rsidRPr="007B4FAA">
                            <w:rPr>
                              <w:b/>
                              <w:color w:val="C00000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656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0;margin-top:13.5pt;width:396.85pt;height:28.35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" filled="f" stroked="f" strokeweight=".5pt">
              <v:textbox inset="0,0,0,0">
                <w:txbxContent>
                  <w:p w14:paraId="0EA6566F" w14:textId="77777777" w:rsidR="00934699" w:rsidRDefault="00934699" w:rsidP="00934699">
                    <w:pPr>
                      <w:jc w:val="center"/>
                    </w:pPr>
                    <w:r w:rsidRPr="007B4FAA">
                      <w:rPr>
                        <w:b/>
                        <w:color w:val="C00000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E2D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D480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0AB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B2D9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8C89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A83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08B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4C5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2AC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38D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AA31BA"/>
    <w:multiLevelType w:val="hybridMultilevel"/>
    <w:tmpl w:val="0BFAB13E"/>
    <w:lvl w:ilvl="0" w:tplc="49D496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571AC"/>
    <w:multiLevelType w:val="hybridMultilevel"/>
    <w:tmpl w:val="236E7CE2"/>
    <w:lvl w:ilvl="0" w:tplc="1E866C6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B1399"/>
    <w:multiLevelType w:val="hybridMultilevel"/>
    <w:tmpl w:val="18B07892"/>
    <w:lvl w:ilvl="0" w:tplc="5E041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5F"/>
    <w:rsid w:val="00025EA1"/>
    <w:rsid w:val="00030D16"/>
    <w:rsid w:val="00074592"/>
    <w:rsid w:val="00084360"/>
    <w:rsid w:val="000A7301"/>
    <w:rsid w:val="000F4860"/>
    <w:rsid w:val="0010113E"/>
    <w:rsid w:val="001043B7"/>
    <w:rsid w:val="001135E1"/>
    <w:rsid w:val="00130268"/>
    <w:rsid w:val="00143C32"/>
    <w:rsid w:val="00145ABA"/>
    <w:rsid w:val="0017021E"/>
    <w:rsid w:val="00172576"/>
    <w:rsid w:val="001A1918"/>
    <w:rsid w:val="001A46FD"/>
    <w:rsid w:val="001D5D67"/>
    <w:rsid w:val="001E0EA8"/>
    <w:rsid w:val="00212870"/>
    <w:rsid w:val="00212945"/>
    <w:rsid w:val="0026074C"/>
    <w:rsid w:val="00277DE2"/>
    <w:rsid w:val="00284B34"/>
    <w:rsid w:val="00285524"/>
    <w:rsid w:val="00291DD0"/>
    <w:rsid w:val="002A3288"/>
    <w:rsid w:val="002D60F4"/>
    <w:rsid w:val="002E0A93"/>
    <w:rsid w:val="002F166C"/>
    <w:rsid w:val="002F6E4E"/>
    <w:rsid w:val="0031595F"/>
    <w:rsid w:val="00317FD5"/>
    <w:rsid w:val="003233C4"/>
    <w:rsid w:val="00324804"/>
    <w:rsid w:val="00324C35"/>
    <w:rsid w:val="00336C9F"/>
    <w:rsid w:val="00336DE8"/>
    <w:rsid w:val="00340461"/>
    <w:rsid w:val="003478E7"/>
    <w:rsid w:val="0038500A"/>
    <w:rsid w:val="00397BB1"/>
    <w:rsid w:val="003B5AC0"/>
    <w:rsid w:val="003E0EC1"/>
    <w:rsid w:val="003E49B2"/>
    <w:rsid w:val="003E6171"/>
    <w:rsid w:val="003F2DFB"/>
    <w:rsid w:val="00412E2D"/>
    <w:rsid w:val="00417C99"/>
    <w:rsid w:val="004455E7"/>
    <w:rsid w:val="00450A47"/>
    <w:rsid w:val="00451FA1"/>
    <w:rsid w:val="004669FB"/>
    <w:rsid w:val="00477C43"/>
    <w:rsid w:val="004A3314"/>
    <w:rsid w:val="004D5F40"/>
    <w:rsid w:val="004F23B4"/>
    <w:rsid w:val="005079A5"/>
    <w:rsid w:val="00537998"/>
    <w:rsid w:val="00545EC0"/>
    <w:rsid w:val="00575358"/>
    <w:rsid w:val="00585FD0"/>
    <w:rsid w:val="0059742B"/>
    <w:rsid w:val="005A1A67"/>
    <w:rsid w:val="005B045E"/>
    <w:rsid w:val="005C1AAC"/>
    <w:rsid w:val="005F2F62"/>
    <w:rsid w:val="005F3700"/>
    <w:rsid w:val="00621676"/>
    <w:rsid w:val="00634963"/>
    <w:rsid w:val="006435B8"/>
    <w:rsid w:val="006446E4"/>
    <w:rsid w:val="00647083"/>
    <w:rsid w:val="00656BB5"/>
    <w:rsid w:val="00661EB5"/>
    <w:rsid w:val="00663AB2"/>
    <w:rsid w:val="00670778"/>
    <w:rsid w:val="006A1C31"/>
    <w:rsid w:val="006C0CCF"/>
    <w:rsid w:val="006C5662"/>
    <w:rsid w:val="006C7C9D"/>
    <w:rsid w:val="006D3A4C"/>
    <w:rsid w:val="0072288E"/>
    <w:rsid w:val="00724E9F"/>
    <w:rsid w:val="00747C07"/>
    <w:rsid w:val="00750584"/>
    <w:rsid w:val="00752F55"/>
    <w:rsid w:val="007753E5"/>
    <w:rsid w:val="00780AB8"/>
    <w:rsid w:val="00787875"/>
    <w:rsid w:val="007A1000"/>
    <w:rsid w:val="007C3140"/>
    <w:rsid w:val="007E0FBE"/>
    <w:rsid w:val="007F3695"/>
    <w:rsid w:val="007F469B"/>
    <w:rsid w:val="008005B5"/>
    <w:rsid w:val="008148D5"/>
    <w:rsid w:val="00827AC3"/>
    <w:rsid w:val="0084633D"/>
    <w:rsid w:val="00846AEC"/>
    <w:rsid w:val="0085065A"/>
    <w:rsid w:val="00856A7F"/>
    <w:rsid w:val="008850FC"/>
    <w:rsid w:val="008915D1"/>
    <w:rsid w:val="008A18A5"/>
    <w:rsid w:val="008A5B3A"/>
    <w:rsid w:val="008A6C7C"/>
    <w:rsid w:val="008E34BB"/>
    <w:rsid w:val="008F226D"/>
    <w:rsid w:val="008F7591"/>
    <w:rsid w:val="00933A1D"/>
    <w:rsid w:val="00934699"/>
    <w:rsid w:val="00937A73"/>
    <w:rsid w:val="00972093"/>
    <w:rsid w:val="00981627"/>
    <w:rsid w:val="00996376"/>
    <w:rsid w:val="00997F44"/>
    <w:rsid w:val="009D7060"/>
    <w:rsid w:val="009D7D9A"/>
    <w:rsid w:val="009E32A5"/>
    <w:rsid w:val="00A1135A"/>
    <w:rsid w:val="00A5740B"/>
    <w:rsid w:val="00A869E6"/>
    <w:rsid w:val="00A86F6C"/>
    <w:rsid w:val="00AA11EE"/>
    <w:rsid w:val="00AA6103"/>
    <w:rsid w:val="00AC2019"/>
    <w:rsid w:val="00AC730E"/>
    <w:rsid w:val="00AD26EE"/>
    <w:rsid w:val="00AE73F3"/>
    <w:rsid w:val="00AF7F16"/>
    <w:rsid w:val="00B00277"/>
    <w:rsid w:val="00B33A04"/>
    <w:rsid w:val="00BC3056"/>
    <w:rsid w:val="00BE1653"/>
    <w:rsid w:val="00C25232"/>
    <w:rsid w:val="00C43343"/>
    <w:rsid w:val="00C850E4"/>
    <w:rsid w:val="00CA03FB"/>
    <w:rsid w:val="00CD4126"/>
    <w:rsid w:val="00CE1EFF"/>
    <w:rsid w:val="00CF0B15"/>
    <w:rsid w:val="00D11EDC"/>
    <w:rsid w:val="00D12D6C"/>
    <w:rsid w:val="00D21286"/>
    <w:rsid w:val="00D542FC"/>
    <w:rsid w:val="00D570B7"/>
    <w:rsid w:val="00D579A7"/>
    <w:rsid w:val="00D64278"/>
    <w:rsid w:val="00D70FFA"/>
    <w:rsid w:val="00D76CAD"/>
    <w:rsid w:val="00D83B28"/>
    <w:rsid w:val="00D95C4B"/>
    <w:rsid w:val="00DB073B"/>
    <w:rsid w:val="00DD1AC8"/>
    <w:rsid w:val="00DD358E"/>
    <w:rsid w:val="00E101C5"/>
    <w:rsid w:val="00E20E1E"/>
    <w:rsid w:val="00E2182E"/>
    <w:rsid w:val="00E401AC"/>
    <w:rsid w:val="00E44BBB"/>
    <w:rsid w:val="00E45F67"/>
    <w:rsid w:val="00E553A3"/>
    <w:rsid w:val="00E5702C"/>
    <w:rsid w:val="00E61F11"/>
    <w:rsid w:val="00E72A73"/>
    <w:rsid w:val="00E83FBC"/>
    <w:rsid w:val="00EA72CD"/>
    <w:rsid w:val="00F27EC5"/>
    <w:rsid w:val="00F32317"/>
    <w:rsid w:val="00F60D07"/>
    <w:rsid w:val="00F83567"/>
    <w:rsid w:val="00F87A29"/>
    <w:rsid w:val="00F97D5A"/>
    <w:rsid w:val="00FB577D"/>
    <w:rsid w:val="00FB5CA4"/>
    <w:rsid w:val="00FD470E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A6558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8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8" w:unhideWhenUsed="1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8" w:unhideWhenUsed="1"/>
    <w:lsdException w:name="toc 4" w:semiHidden="1" w:uiPriority="38" w:unhideWhenUsed="1"/>
    <w:lsdException w:name="toc 5" w:semiHidden="1" w:uiPriority="38" w:unhideWhenUsed="1"/>
    <w:lsdException w:name="toc 6" w:semiHidden="1" w:uiPriority="38" w:unhideWhenUsed="1"/>
    <w:lsdException w:name="toc 7" w:semiHidden="1" w:uiPriority="38" w:unhideWhenUsed="1"/>
    <w:lsdException w:name="toc 8" w:semiHidden="1" w:uiPriority="38" w:unhideWhenUsed="1"/>
    <w:lsdException w:name="toc 9" w:semiHidden="1" w:uiPriority="38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1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0"/>
    <w:lsdException w:name="Table Theme" w:semiHidden="1" w:uiPriority="99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8"/>
    <w:lsdException w:name="Intense 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0"/>
    <w:lsdException w:name="Subtle Reference" w:uiPriority="30"/>
    <w:lsdException w:name="Intense Reference" w:uiPriority="31"/>
    <w:lsdException w:name="Book Title" w:uiPriority="32"/>
    <w:lsdException w:name="Bibliography" w:semiHidden="1" w:uiPriority="36" w:unhideWhenUsed="1"/>
    <w:lsdException w:name="TOC Heading" w:semiHidden="1" w:uiPriority="39" w:unhideWhenUsed="1" w:qFormat="1"/>
    <w:lsdException w:name="Plain Table 1" w:uiPriority="99"/>
    <w:lsdException w:name="Plain Table 2" w:uiPriority="99"/>
    <w:lsdException w:name="Plain Table 3" w:uiPriority="99"/>
    <w:lsdException w:name="Plain Table 4" w:uiPriority="99"/>
    <w:lsdException w:name="Plain Table 5" w:uiPriority="99"/>
    <w:lsdException w:name="Grid Table Light" w:uiPriority="99"/>
    <w:lsdException w:name="Grid Table 1 Light" w:uiPriority="99"/>
    <w:lsdException w:name="Grid Table 2" w:uiPriority="99"/>
    <w:lsdException w:name="Grid Table 3" w:uiPriority="99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F23B4"/>
    <w:pPr>
      <w:spacing w:after="200" w:line="280" w:lineRule="exact"/>
    </w:pPr>
  </w:style>
  <w:style w:type="paragraph" w:styleId="Heading1">
    <w:name w:val="heading 1"/>
    <w:link w:val="Heading1Char"/>
    <w:autoRedefine/>
    <w:qFormat/>
    <w:rsid w:val="00A869E6"/>
    <w:pPr>
      <w:spacing w:before="320" w:after="120"/>
      <w:ind w:right="-618"/>
      <w:outlineLvl w:val="0"/>
    </w:pPr>
    <w:rPr>
      <w:rFonts w:eastAsia="Times New Roman" w:cs="Times New Roman"/>
      <w:b/>
      <w:bCs/>
      <w:noProof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8"/>
    <w:unhideWhenUsed/>
    <w:qFormat/>
    <w:rsid w:val="00340461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8"/>
    <w:unhideWhenUsed/>
    <w:qFormat/>
    <w:rsid w:val="006C0C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F3F3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69E6"/>
    <w:rPr>
      <w:rFonts w:eastAsia="Times New Roman" w:cs="Times New Roman"/>
      <w:b/>
      <w:bCs/>
      <w:noProof/>
      <w:sz w:val="28"/>
    </w:rPr>
  </w:style>
  <w:style w:type="paragraph" w:customStyle="1" w:styleId="IntroParagraph">
    <w:name w:val="Intro Paragraph"/>
    <w:link w:val="IntroParagraphChar"/>
    <w:autoRedefine/>
    <w:qFormat/>
    <w:rsid w:val="00DB073B"/>
    <w:pPr>
      <w:spacing w:before="120" w:after="240"/>
      <w:ind w:right="34"/>
    </w:pPr>
    <w:rPr>
      <w:rFonts w:eastAsia="Times New Roman" w:cs="Times New Roman"/>
      <w:color w:val="7F7F7F" w:themeColor="text1" w:themeTint="80"/>
      <w:sz w:val="32"/>
      <w:szCs w:val="30"/>
    </w:rPr>
  </w:style>
  <w:style w:type="paragraph" w:customStyle="1" w:styleId="DPCBodyHeading">
    <w:name w:val="DPC Body Heading"/>
    <w:next w:val="Normal"/>
    <w:autoRedefine/>
    <w:rsid w:val="006C5662"/>
    <w:pPr>
      <w:spacing w:after="240" w:line="280" w:lineRule="atLeast"/>
      <w:ind w:right="-618"/>
    </w:pPr>
    <w:rPr>
      <w:rFonts w:eastAsiaTheme="majorEastAsia" w:cstheme="majorBidi"/>
      <w:bCs/>
      <w:sz w:val="20"/>
      <w:szCs w:val="20"/>
    </w:rPr>
  </w:style>
  <w:style w:type="paragraph" w:customStyle="1" w:styleId="-Normal-">
    <w:name w:val="-Normal-"/>
    <w:autoRedefine/>
    <w:qFormat/>
    <w:rsid w:val="00F32317"/>
    <w:pPr>
      <w:spacing w:before="200" w:after="200" w:line="280" w:lineRule="exact"/>
      <w:ind w:right="34"/>
    </w:pPr>
    <w:rPr>
      <w:rFonts w:eastAsia="Times New Roman" w:cs="Times New Roman"/>
      <w:color w:val="000000" w:themeColor="text1"/>
      <w:szCs w:val="20"/>
      <w:lang w:eastAsia="en-AU"/>
    </w:rPr>
  </w:style>
  <w:style w:type="paragraph" w:styleId="Header">
    <w:name w:val="header"/>
    <w:basedOn w:val="Normal"/>
    <w:link w:val="HeaderChar"/>
    <w:uiPriority w:val="98"/>
    <w:unhideWhenUsed/>
    <w:rsid w:val="00AF7F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8"/>
    <w:rsid w:val="00663AB2"/>
  </w:style>
  <w:style w:type="paragraph" w:styleId="Footer">
    <w:name w:val="footer"/>
    <w:basedOn w:val="Normal"/>
    <w:link w:val="FooterChar"/>
    <w:uiPriority w:val="98"/>
    <w:unhideWhenUsed/>
    <w:rsid w:val="00AF7F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8"/>
    <w:rsid w:val="00663AB2"/>
  </w:style>
  <w:style w:type="paragraph" w:styleId="BalloonText">
    <w:name w:val="Balloon Text"/>
    <w:basedOn w:val="Normal"/>
    <w:link w:val="BalloonTextChar"/>
    <w:uiPriority w:val="98"/>
    <w:semiHidden/>
    <w:unhideWhenUsed/>
    <w:rsid w:val="00AF7F1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663AB2"/>
    <w:rPr>
      <w:rFonts w:ascii="Lucida Grande" w:hAnsi="Lucida Grande" w:cs="Lucida Grande"/>
      <w:sz w:val="18"/>
      <w:szCs w:val="18"/>
    </w:rPr>
  </w:style>
  <w:style w:type="paragraph" w:customStyle="1" w:styleId="IntroHeading">
    <w:name w:val="Intro Heading"/>
    <w:autoRedefine/>
    <w:qFormat/>
    <w:rsid w:val="00E101C5"/>
    <w:pPr>
      <w:spacing w:before="240" w:after="120"/>
    </w:pPr>
    <w:rPr>
      <w:rFonts w:eastAsiaTheme="majorEastAsia" w:cs="Times New Roman"/>
      <w:b/>
      <w:bCs/>
      <w:color w:val="595959" w:themeColor="text1" w:themeTint="A6"/>
      <w:sz w:val="32"/>
      <w:szCs w:val="30"/>
    </w:rPr>
  </w:style>
  <w:style w:type="character" w:customStyle="1" w:styleId="IntroParagraphChar">
    <w:name w:val="Intro Paragraph Char"/>
    <w:basedOn w:val="DefaultParagraphFont"/>
    <w:link w:val="IntroParagraph"/>
    <w:rsid w:val="00DB073B"/>
    <w:rPr>
      <w:rFonts w:eastAsia="Times New Roman" w:cs="Times New Roman"/>
      <w:color w:val="7F7F7F" w:themeColor="text1" w:themeTint="80"/>
      <w:sz w:val="32"/>
      <w:szCs w:val="30"/>
    </w:rPr>
  </w:style>
  <w:style w:type="character" w:styleId="Hyperlink">
    <w:name w:val="Hyperlink"/>
    <w:rsid w:val="00FB5CA4"/>
    <w:rPr>
      <w:strike w:val="0"/>
      <w:dstrike w:val="0"/>
      <w:color w:val="3366CC"/>
      <w:u w:val="none"/>
      <w:effect w:val="none"/>
    </w:rPr>
  </w:style>
  <w:style w:type="paragraph" w:customStyle="1" w:styleId="DPCDate">
    <w:name w:val="DPC Date"/>
    <w:basedOn w:val="Heading1"/>
    <w:autoRedefine/>
    <w:rsid w:val="00A86F6C"/>
    <w:pPr>
      <w:spacing w:before="240" w:after="240"/>
    </w:pPr>
    <w:rPr>
      <w:b w:val="0"/>
    </w:rPr>
  </w:style>
  <w:style w:type="table" w:styleId="TableGrid">
    <w:name w:val="Table Grid"/>
    <w:basedOn w:val="TableNormal"/>
    <w:rsid w:val="0041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8"/>
    <w:rsid w:val="00340461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autoRedefine/>
    <w:qFormat/>
    <w:rsid w:val="00F83567"/>
    <w:pPr>
      <w:spacing w:before="360" w:after="360" w:line="240" w:lineRule="auto"/>
      <w:contextualSpacing/>
    </w:pPr>
    <w:rPr>
      <w:rFonts w:eastAsiaTheme="majorEastAsia" w:cstheme="majorBidi"/>
      <w:b/>
      <w:color w:val="004B88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AA6103"/>
    <w:rPr>
      <w:rFonts w:ascii="Arial" w:eastAsiaTheme="majorEastAsia" w:hAnsi="Arial" w:cstheme="majorBidi"/>
      <w:b/>
      <w:color w:val="004B88"/>
      <w:spacing w:val="-10"/>
      <w:kern w:val="28"/>
      <w:sz w:val="52"/>
      <w:szCs w:val="56"/>
    </w:rPr>
  </w:style>
  <w:style w:type="paragraph" w:styleId="ListParagraph">
    <w:name w:val="List Paragraph"/>
    <w:aliases w:val="Bullet Point List"/>
    <w:basedOn w:val="Normal"/>
    <w:link w:val="ListParagraphChar"/>
    <w:autoRedefine/>
    <w:uiPriority w:val="34"/>
    <w:qFormat/>
    <w:rsid w:val="00340461"/>
    <w:pPr>
      <w:numPr>
        <w:numId w:val="2"/>
      </w:numPr>
      <w:spacing w:before="120" w:after="120" w:line="240" w:lineRule="auto"/>
      <w:ind w:left="714" w:hanging="357"/>
    </w:pPr>
  </w:style>
  <w:style w:type="character" w:customStyle="1" w:styleId="Heading3Char">
    <w:name w:val="Heading 3 Char"/>
    <w:basedOn w:val="DefaultParagraphFont"/>
    <w:link w:val="Heading3"/>
    <w:uiPriority w:val="8"/>
    <w:rsid w:val="00663AB2"/>
    <w:rPr>
      <w:rFonts w:asciiTheme="majorHAnsi" w:eastAsiaTheme="majorEastAsia" w:hAnsiTheme="majorHAnsi" w:cstheme="majorBidi"/>
      <w:color w:val="3F3F3F" w:themeColor="accent1" w:themeShade="7F"/>
    </w:rPr>
  </w:style>
  <w:style w:type="paragraph" w:customStyle="1" w:styleId="NormalText">
    <w:name w:val="Normal Text"/>
    <w:autoRedefine/>
    <w:rsid w:val="002F6E4E"/>
    <w:pPr>
      <w:spacing w:after="200" w:line="280" w:lineRule="exact"/>
      <w:ind w:right="34"/>
    </w:pPr>
    <w:rPr>
      <w:rFonts w:eastAsia="Times New Roman" w:cs="Times New Roman"/>
      <w:szCs w:val="20"/>
    </w:rPr>
  </w:style>
  <w:style w:type="table" w:styleId="PlainTable2">
    <w:name w:val="Plain Table 2"/>
    <w:aliases w:val="DPC Grid Table"/>
    <w:basedOn w:val="TableNormal"/>
    <w:uiPriority w:val="99"/>
    <w:rsid w:val="00417C99"/>
    <w:pPr>
      <w:spacing w:before="80" w:after="80" w:line="280" w:lineRule="exact"/>
    </w:pPr>
    <w:tblPr>
      <w:tblStyleRowBandSize w:val="1"/>
      <w:tblStyleColBandSize w:val="1"/>
      <w:tblBorders>
        <w:top w:val="single" w:sz="12" w:space="0" w:color="auto"/>
        <w:bottom w:val="single" w:sz="6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rPr>
        <w:rFonts w:ascii="Arial" w:hAnsi="Arial"/>
        <w:b/>
        <w:bCs/>
        <w:sz w:val="22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umberedList">
    <w:name w:val="Numbered List"/>
    <w:link w:val="NumberedListChar"/>
    <w:qFormat/>
    <w:rsid w:val="003E0EC1"/>
    <w:pPr>
      <w:numPr>
        <w:numId w:val="3"/>
      </w:numPr>
      <w:spacing w:before="200" w:after="240"/>
      <w:ind w:left="714" w:hanging="357"/>
    </w:pPr>
    <w:rPr>
      <w:rFonts w:eastAsia="Times New Roman" w:cs="Times New Roman"/>
      <w:bCs/>
      <w:noProof/>
    </w:rPr>
  </w:style>
  <w:style w:type="character" w:customStyle="1" w:styleId="NumberedListChar">
    <w:name w:val="Numbered List Char"/>
    <w:basedOn w:val="DefaultParagraphFont"/>
    <w:link w:val="NumberedList"/>
    <w:rsid w:val="003E0EC1"/>
    <w:rPr>
      <w:rFonts w:ascii="Arial" w:eastAsia="Times New Roman" w:hAnsi="Arial" w:cs="Times New Roman"/>
      <w:bCs/>
      <w:noProof/>
      <w:sz w:val="22"/>
      <w:szCs w:val="22"/>
    </w:rPr>
  </w:style>
  <w:style w:type="paragraph" w:styleId="TOCHeading">
    <w:name w:val="TOC Heading"/>
    <w:basedOn w:val="Heading1"/>
    <w:next w:val="Normal"/>
    <w:uiPriority w:val="38"/>
    <w:unhideWhenUsed/>
    <w:qFormat/>
    <w:rsid w:val="00E45F67"/>
    <w:pPr>
      <w:keepNext/>
      <w:keepLines/>
      <w:spacing w:before="240"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5F5F5F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link w:val="TOC1Char"/>
    <w:autoRedefine/>
    <w:uiPriority w:val="38"/>
    <w:unhideWhenUsed/>
    <w:rsid w:val="00AD26EE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8"/>
    <w:unhideWhenUsed/>
    <w:rsid w:val="00E45F67"/>
    <w:pPr>
      <w:spacing w:after="100"/>
      <w:ind w:left="220"/>
    </w:pPr>
  </w:style>
  <w:style w:type="paragraph" w:customStyle="1" w:styleId="TOCTitle">
    <w:name w:val="TOC Title"/>
    <w:basedOn w:val="TOC1"/>
    <w:link w:val="TOCTitleChar"/>
    <w:qFormat/>
    <w:rsid w:val="00933A1D"/>
    <w:pPr>
      <w:tabs>
        <w:tab w:val="right" w:leader="dot" w:pos="9629"/>
      </w:tabs>
    </w:pPr>
    <w:rPr>
      <w:b w:val="0"/>
      <w:noProof/>
      <w:sz w:val="28"/>
    </w:rPr>
  </w:style>
  <w:style w:type="paragraph" w:customStyle="1" w:styleId="Bold">
    <w:name w:val="Bold"/>
    <w:basedOn w:val="TOC1"/>
    <w:link w:val="BoldChar"/>
    <w:autoRedefine/>
    <w:qFormat/>
    <w:rsid w:val="00AD26EE"/>
    <w:pPr>
      <w:tabs>
        <w:tab w:val="right" w:leader="dot" w:pos="9629"/>
      </w:tabs>
    </w:pPr>
    <w:rPr>
      <w:noProof/>
      <w:sz w:val="28"/>
    </w:rPr>
  </w:style>
  <w:style w:type="character" w:customStyle="1" w:styleId="TOC1Char">
    <w:name w:val="TOC 1 Char"/>
    <w:basedOn w:val="DefaultParagraphFont"/>
    <w:link w:val="TOC1"/>
    <w:uiPriority w:val="38"/>
    <w:rsid w:val="00663AB2"/>
    <w:rPr>
      <w:b/>
    </w:rPr>
  </w:style>
  <w:style w:type="character" w:customStyle="1" w:styleId="TOCTitleChar">
    <w:name w:val="TOC Title Char"/>
    <w:basedOn w:val="TOC1Char"/>
    <w:link w:val="TOCTitle"/>
    <w:rsid w:val="00933A1D"/>
    <w:rPr>
      <w:rFonts w:ascii="Arial" w:eastAsia="Times New Roman" w:hAnsi="Arial" w:cs="Times New Roman"/>
      <w:b w:val="0"/>
      <w:noProof/>
      <w:sz w:val="28"/>
    </w:rPr>
  </w:style>
  <w:style w:type="character" w:customStyle="1" w:styleId="BoldChar">
    <w:name w:val="Bold Char"/>
    <w:basedOn w:val="TOC1Char"/>
    <w:link w:val="Bold"/>
    <w:rsid w:val="00AD26EE"/>
    <w:rPr>
      <w:rFonts w:ascii="Arial" w:hAnsi="Arial"/>
      <w:b/>
      <w:noProof/>
      <w:sz w:val="28"/>
    </w:rPr>
  </w:style>
  <w:style w:type="paragraph" w:customStyle="1" w:styleId="TOCHeading1">
    <w:name w:val="TOC Heading 1"/>
    <w:basedOn w:val="TOC1"/>
    <w:link w:val="TOCHeading1Char"/>
    <w:qFormat/>
    <w:rsid w:val="00933A1D"/>
    <w:pPr>
      <w:tabs>
        <w:tab w:val="right" w:leader="dot" w:pos="9770"/>
      </w:tabs>
    </w:pPr>
    <w:rPr>
      <w:b w:val="0"/>
      <w:noProof/>
    </w:rPr>
  </w:style>
  <w:style w:type="paragraph" w:customStyle="1" w:styleId="TOCHeading2">
    <w:name w:val="TOC Heading 2"/>
    <w:basedOn w:val="TOC1"/>
    <w:link w:val="TOCHeading2Char"/>
    <w:qFormat/>
    <w:rsid w:val="00933A1D"/>
    <w:pPr>
      <w:tabs>
        <w:tab w:val="right" w:leader="dot" w:pos="9770"/>
      </w:tabs>
    </w:pPr>
  </w:style>
  <w:style w:type="character" w:customStyle="1" w:styleId="TOCHeading1Char">
    <w:name w:val="TOC Heading 1 Char"/>
    <w:basedOn w:val="TOC1Char"/>
    <w:link w:val="TOCHeading1"/>
    <w:rsid w:val="00933A1D"/>
    <w:rPr>
      <w:rFonts w:ascii="Arial" w:eastAsia="Times New Roman" w:hAnsi="Arial" w:cs="Times New Roman"/>
      <w:b w:val="0"/>
      <w:noProof/>
      <w:sz w:val="22"/>
    </w:rPr>
  </w:style>
  <w:style w:type="character" w:customStyle="1" w:styleId="TOCHeading2Char">
    <w:name w:val="TOC Heading 2 Char"/>
    <w:basedOn w:val="TOC1Char"/>
    <w:link w:val="TOCHeading2"/>
    <w:rsid w:val="00933A1D"/>
    <w:rPr>
      <w:rFonts w:ascii="Arial" w:eastAsia="Times New Roman" w:hAnsi="Arial" w:cs="Times New Roman"/>
      <w:b/>
      <w:sz w:val="22"/>
    </w:rPr>
  </w:style>
  <w:style w:type="paragraph" w:customStyle="1" w:styleId="TableHeading1">
    <w:name w:val="Table Heading 1"/>
    <w:link w:val="TableHeading1Char"/>
    <w:qFormat/>
    <w:rsid w:val="00A869E6"/>
    <w:pPr>
      <w:spacing w:after="120"/>
    </w:pPr>
    <w:rPr>
      <w:rFonts w:ascii="Arial Bold" w:eastAsia="Times New Roman" w:hAnsi="Arial Bold" w:cs="Times New Roman"/>
      <w:b/>
      <w:bCs/>
      <w:noProof/>
    </w:rPr>
  </w:style>
  <w:style w:type="paragraph" w:customStyle="1" w:styleId="TableHeading2">
    <w:name w:val="Table Heading 2"/>
    <w:link w:val="TableHeading2Char"/>
    <w:rsid w:val="00E83FBC"/>
    <w:pPr>
      <w:framePr w:hSpace="180" w:wrap="around" w:vAnchor="text" w:hAnchor="text" w:y="1"/>
      <w:spacing w:before="240" w:after="240"/>
      <w:suppressOverlap/>
    </w:pPr>
    <w:rPr>
      <w:rFonts w:eastAsia="Times New Roman" w:cs="Times New Roman"/>
      <w:b/>
      <w:szCs w:val="20"/>
    </w:rPr>
  </w:style>
  <w:style w:type="character" w:customStyle="1" w:styleId="TableHeading1Char">
    <w:name w:val="Table Heading 1 Char"/>
    <w:basedOn w:val="DefaultParagraphFont"/>
    <w:link w:val="TableHeading1"/>
    <w:rsid w:val="00A869E6"/>
    <w:rPr>
      <w:rFonts w:ascii="Arial Bold" w:eastAsia="Times New Roman" w:hAnsi="Arial Bold" w:cs="Times New Roman"/>
      <w:b/>
      <w:bCs/>
      <w:noProof/>
    </w:rPr>
  </w:style>
  <w:style w:type="character" w:customStyle="1" w:styleId="TableHeading2Char">
    <w:name w:val="Table Heading 2 Char"/>
    <w:basedOn w:val="DefaultParagraphFont"/>
    <w:link w:val="TableHeading2"/>
    <w:rsid w:val="00E83FBC"/>
    <w:rPr>
      <w:rFonts w:eastAsia="Times New Roman" w:cs="Times New Roman"/>
      <w:b/>
      <w:szCs w:val="20"/>
    </w:rPr>
  </w:style>
  <w:style w:type="paragraph" w:customStyle="1" w:styleId="DecimalAligned">
    <w:name w:val="Decimal Aligned"/>
    <w:basedOn w:val="Normal"/>
    <w:uiPriority w:val="40"/>
    <w:qFormat/>
    <w:rsid w:val="008005B5"/>
    <w:pPr>
      <w:tabs>
        <w:tab w:val="decimal" w:pos="360"/>
      </w:tabs>
      <w:spacing w:line="276" w:lineRule="auto"/>
    </w:pPr>
    <w:rPr>
      <w:rFonts w:asciiTheme="minorHAnsi" w:hAnsiTheme="minorHAns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005B5"/>
    <w:pPr>
      <w:spacing w:after="0" w:line="240" w:lineRule="auto"/>
    </w:pPr>
    <w:rPr>
      <w:rFonts w:asciiTheme="minorHAnsi" w:hAnsiTheme="minorHAns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05B5"/>
    <w:rPr>
      <w:rFonts w:asciiTheme="minorHAnsi" w:hAnsiTheme="minorHAnsi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8005B5"/>
    <w:rPr>
      <w:i/>
      <w:iCs/>
    </w:rPr>
  </w:style>
  <w:style w:type="table" w:styleId="LightShading-Accent1">
    <w:name w:val="Light Shading Accent 1"/>
    <w:basedOn w:val="TableNormal"/>
    <w:uiPriority w:val="60"/>
    <w:rsid w:val="008005B5"/>
    <w:rPr>
      <w:rFonts w:asciiTheme="minorHAnsi" w:hAnsiTheme="minorHAnsi"/>
      <w:color w:val="5F5F5F" w:themeColor="accent1" w:themeShade="BF"/>
      <w:lang w:val="en-US"/>
    </w:rPr>
    <w:tblPr>
      <w:tblStyleRowBandSize w:val="1"/>
      <w:tblStyleColBandSize w:val="1"/>
      <w:tblBorders>
        <w:top w:val="single" w:sz="8" w:space="0" w:color="7F7F7F" w:themeColor="accent1"/>
        <w:bottom w:val="single" w:sz="8" w:space="0" w:color="7F7F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1"/>
          <w:left w:val="nil"/>
          <w:bottom w:val="single" w:sz="8" w:space="0" w:color="7F7F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1"/>
          <w:left w:val="nil"/>
          <w:bottom w:val="single" w:sz="8" w:space="0" w:color="7F7F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9D7D9A"/>
    <w:rPr>
      <w:rFonts w:eastAsia="MS Mincho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0A7301"/>
    <w:tblPr>
      <w:tblStyleRowBandSize w:val="1"/>
      <w:tblStyleColBandSize w:val="1"/>
      <w:tblBorders>
        <w:top w:val="single" w:sz="4" w:space="0" w:color="69BBFF" w:themeColor="accent6" w:themeTint="66"/>
        <w:left w:val="single" w:sz="4" w:space="0" w:color="69BBFF" w:themeColor="accent6" w:themeTint="66"/>
        <w:bottom w:val="single" w:sz="4" w:space="0" w:color="69BBFF" w:themeColor="accent6" w:themeTint="66"/>
        <w:right w:val="single" w:sz="4" w:space="0" w:color="69BBFF" w:themeColor="accent6" w:themeTint="66"/>
        <w:insideH w:val="single" w:sz="4" w:space="0" w:color="69BBFF" w:themeColor="accent6" w:themeTint="66"/>
        <w:insideV w:val="single" w:sz="4" w:space="0" w:color="69BB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1E99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99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PCVerticalTable">
    <w:name w:val="DPC Vertical Table"/>
    <w:basedOn w:val="TableNormal"/>
    <w:uiPriority w:val="99"/>
    <w:rsid w:val="00143C32"/>
    <w:pPr>
      <w:spacing w:before="120" w:after="120"/>
    </w:pPr>
    <w:tblPr>
      <w:tblBorders>
        <w:top w:val="single" w:sz="4" w:space="0" w:color="auto"/>
        <w:bottom w:val="single" w:sz="6" w:space="0" w:color="auto"/>
        <w:insideV w:val="single" w:sz="6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="Arial" w:hAnsi="Arial"/>
        <w:b/>
        <w:color w:val="000000" w:themeColor="text1"/>
        <w:sz w:val="22"/>
      </w:rPr>
      <w:tblPr/>
      <w:tcPr>
        <w:tcBorders>
          <w:top w:val="single" w:sz="12" w:space="0" w:color="auto"/>
          <w:bottom w:val="nil"/>
        </w:tcBorders>
        <w:vAlign w:val="center"/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rFonts w:ascii="Arial" w:hAnsi="Arial"/>
        <w:b/>
        <w:sz w:val="22"/>
      </w:rPr>
    </w:tblStylePr>
  </w:style>
  <w:style w:type="table" w:styleId="TableTheme">
    <w:name w:val="Table Theme"/>
    <w:basedOn w:val="TableNormal"/>
    <w:uiPriority w:val="99"/>
    <w:semiHidden/>
    <w:unhideWhenUsed/>
    <w:rsid w:val="008915D1"/>
    <w:pPr>
      <w:spacing w:after="20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99"/>
    <w:rsid w:val="00417C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PCTable2">
    <w:name w:val="DPC Table 2"/>
    <w:basedOn w:val="TableTheme"/>
    <w:uiPriority w:val="99"/>
    <w:rsid w:val="00084360"/>
    <w:pPr>
      <w:spacing w:before="80" w:after="80" w:line="240" w:lineRule="auto"/>
    </w:pPr>
    <w:rPr>
      <w:color w:val="000000" w:themeColor="text1"/>
      <w:szCs w:val="20"/>
      <w:lang w:eastAsia="en-AU"/>
    </w:rPr>
    <w:tblPr>
      <w:tblBorders>
        <w:top w:val="single" w:sz="12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BFBFBF" w:themeColor="background1" w:themeShade="BF"/>
        <w:insideV w:val="none" w:sz="0" w:space="0" w:color="auto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12" w:space="0" w:color="auto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E5E5E5" w:themeFill="accent4" w:themeFillTint="33"/>
      </w:tcPr>
    </w:tblStylePr>
  </w:style>
  <w:style w:type="table" w:customStyle="1" w:styleId="DPCTable1">
    <w:name w:val="DPC Table 1"/>
    <w:basedOn w:val="TableNormal"/>
    <w:uiPriority w:val="99"/>
    <w:rsid w:val="00084360"/>
    <w:pPr>
      <w:spacing w:before="80" w:after="80"/>
    </w:pPr>
    <w:tblPr>
      <w:tblBorders>
        <w:top w:val="single" w:sz="8" w:space="0" w:color="BFBFBF" w:themeColor="background1" w:themeShade="BF"/>
        <w:bottom w:val="single" w:sz="8" w:space="0" w:color="auto"/>
        <w:insideH w:val="single" w:sz="4" w:space="0" w:color="BFBFBF" w:themeColor="background1" w:themeShade="BF"/>
      </w:tblBorders>
    </w:tblPr>
    <w:tblStylePr w:type="firstRow">
      <w:rPr>
        <w:rFonts w:ascii="Arial" w:hAnsi="Arial"/>
        <w:b/>
        <w:sz w:val="22"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ContactsBlock">
    <w:name w:val="Contacts Block"/>
    <w:basedOn w:val="Normal"/>
    <w:link w:val="ContactsBlockChar"/>
    <w:qFormat/>
    <w:rsid w:val="00084360"/>
    <w:pPr>
      <w:spacing w:after="60" w:line="240" w:lineRule="auto"/>
    </w:pPr>
    <w:rPr>
      <w:rFonts w:eastAsia="MS Mincho" w:cs="Times New Roman"/>
      <w:sz w:val="20"/>
      <w:szCs w:val="20"/>
    </w:rPr>
  </w:style>
  <w:style w:type="character" w:customStyle="1" w:styleId="ContactsBlockChar">
    <w:name w:val="Contacts Block Char"/>
    <w:basedOn w:val="DefaultParagraphFont"/>
    <w:link w:val="ContactsBlock"/>
    <w:rsid w:val="00084360"/>
    <w:rPr>
      <w:rFonts w:eastAsia="MS Mincho" w:cs="Times New Roman"/>
      <w:sz w:val="20"/>
      <w:szCs w:val="20"/>
    </w:rPr>
  </w:style>
  <w:style w:type="paragraph" w:customStyle="1" w:styleId="TableTitle">
    <w:name w:val="Table Title"/>
    <w:link w:val="TableTitleChar"/>
    <w:qFormat/>
    <w:rsid w:val="00084360"/>
    <w:pPr>
      <w:spacing w:after="120"/>
    </w:pPr>
    <w:rPr>
      <w:rFonts w:eastAsia="Times New Roman" w:cs="Times New Roman"/>
      <w:b/>
      <w:bCs/>
      <w:noProof/>
      <w:color w:val="404040" w:themeColor="text1" w:themeTint="BF"/>
      <w:sz w:val="24"/>
    </w:rPr>
  </w:style>
  <w:style w:type="table" w:customStyle="1" w:styleId="TableGrid2">
    <w:name w:val="Table Grid2"/>
    <w:basedOn w:val="TableNormal"/>
    <w:next w:val="TableGrid"/>
    <w:uiPriority w:val="59"/>
    <w:rsid w:val="00084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itleChar">
    <w:name w:val="Table Title Char"/>
    <w:basedOn w:val="DefaultParagraphFont"/>
    <w:link w:val="TableTitle"/>
    <w:rsid w:val="00084360"/>
    <w:rPr>
      <w:rFonts w:eastAsia="Times New Roman" w:cs="Times New Roman"/>
      <w:b/>
      <w:bCs/>
      <w:noProof/>
      <w:color w:val="404040" w:themeColor="text1" w:themeTint="BF"/>
      <w:sz w:val="24"/>
    </w:rPr>
  </w:style>
  <w:style w:type="paragraph" w:customStyle="1" w:styleId="Pagenumbers">
    <w:name w:val="Page numbers"/>
    <w:basedOn w:val="Normal"/>
    <w:link w:val="PagenumbersChar"/>
    <w:qFormat/>
    <w:rsid w:val="00084360"/>
    <w:pPr>
      <w:spacing w:after="0" w:line="240" w:lineRule="auto"/>
    </w:pPr>
    <w:rPr>
      <w:sz w:val="18"/>
      <w:szCs w:val="18"/>
    </w:rPr>
  </w:style>
  <w:style w:type="character" w:customStyle="1" w:styleId="PagenumbersChar">
    <w:name w:val="Page numbers Char"/>
    <w:basedOn w:val="DefaultParagraphFont"/>
    <w:link w:val="Pagenumbers"/>
    <w:rsid w:val="00084360"/>
    <w:rPr>
      <w:sz w:val="18"/>
      <w:szCs w:val="18"/>
    </w:rPr>
  </w:style>
  <w:style w:type="paragraph" w:customStyle="1" w:styleId="TableText">
    <w:name w:val="Table Text"/>
    <w:link w:val="TableTextChar"/>
    <w:qFormat/>
    <w:rsid w:val="00084360"/>
    <w:pPr>
      <w:spacing w:before="80" w:after="80"/>
    </w:pPr>
    <w:rPr>
      <w:color w:val="000000" w:themeColor="text1"/>
      <w:szCs w:val="20"/>
      <w:lang w:eastAsia="en-AU"/>
    </w:rPr>
  </w:style>
  <w:style w:type="character" w:customStyle="1" w:styleId="TableTextChar">
    <w:name w:val="Table Text Char"/>
    <w:basedOn w:val="DefaultParagraphFont"/>
    <w:link w:val="TableText"/>
    <w:rsid w:val="00084360"/>
    <w:rPr>
      <w:color w:val="000000" w:themeColor="text1"/>
      <w:szCs w:val="20"/>
      <w:lang w:eastAsia="en-AU"/>
    </w:rPr>
  </w:style>
  <w:style w:type="character" w:customStyle="1" w:styleId="ListParagraphChar">
    <w:name w:val="List Paragraph Char"/>
    <w:aliases w:val="Bullet Point List Char"/>
    <w:link w:val="ListParagraph"/>
    <w:uiPriority w:val="34"/>
    <w:rsid w:val="009D7060"/>
  </w:style>
  <w:style w:type="character" w:styleId="FootnoteReference">
    <w:name w:val="footnote reference"/>
    <w:basedOn w:val="DefaultParagraphFont"/>
    <w:uiPriority w:val="99"/>
    <w:semiHidden/>
    <w:unhideWhenUsed/>
    <w:rsid w:val="009D7060"/>
    <w:rPr>
      <w:vertAlign w:val="superscript"/>
    </w:rPr>
  </w:style>
  <w:style w:type="paragraph" w:customStyle="1" w:styleId="-Normal1-">
    <w:name w:val="-Normal1-"/>
    <w:autoRedefine/>
    <w:qFormat/>
    <w:rsid w:val="009D7060"/>
    <w:pPr>
      <w:ind w:left="29" w:right="34"/>
    </w:pPr>
    <w:rPr>
      <w:rFonts w:eastAsia="Times New Roman" w:cs="Arial"/>
      <w:color w:val="000000" w:themeColor="text1"/>
      <w:sz w:val="20"/>
      <w:lang w:eastAsia="en-AU"/>
    </w:rPr>
  </w:style>
  <w:style w:type="character" w:styleId="FollowedHyperlink">
    <w:name w:val="FollowedHyperlink"/>
    <w:basedOn w:val="DefaultParagraphFont"/>
    <w:uiPriority w:val="98"/>
    <w:semiHidden/>
    <w:unhideWhenUsed/>
    <w:rsid w:val="00BC3056"/>
    <w:rPr>
      <w:color w:val="7F7F7F" w:themeColor="followedHyperlink"/>
      <w:u w:val="single"/>
    </w:rPr>
  </w:style>
  <w:style w:type="character" w:styleId="UnresolvedMention">
    <w:name w:val="Unresolved Mention"/>
    <w:basedOn w:val="DefaultParagraphFont"/>
    <w:uiPriority w:val="98"/>
    <w:semiHidden/>
    <w:unhideWhenUsed/>
    <w:rsid w:val="00BC30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http://i.creativecommons.org/l/by/2.5/au/88x31.png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www.naa.gov.au/information-management/storing-and-preserving-information/storing-information/cloud-computing-and-information-manage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yber.gov.au/acsc/view-all-content/publications/cloud-computing-security-tenants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5" Type="http://schemas.openxmlformats.org/officeDocument/2006/relationships/hyperlink" Target="http://www.sro.wa.gov.au/sites/default/files/adri_cloud_computing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acsc.gov.au/infosec/cloudsecurity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pc.sa.gov.au/digital/cloud" TargetMode="External"/><Relationship Id="rId24" Type="http://schemas.openxmlformats.org/officeDocument/2006/relationships/hyperlink" Target="https://www.enisa.europa.eu/publications/cloud-computing-risk-assessmen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www.enisa.europa.eu/publications/security-and-resilience-in-governmental-cloud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ist.gov/programs-projects/nist-cloud-computing-program-nccp" TargetMode="External"/><Relationship Id="rId19" Type="http://schemas.openxmlformats.org/officeDocument/2006/relationships/hyperlink" Target="https://www.nist.gov/publications/nist-definition-cloud-comput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reativecommons.org/licenses/by/4.0/" TargetMode="External"/><Relationship Id="rId22" Type="http://schemas.openxmlformats.org/officeDocument/2006/relationships/hyperlink" Target="https://www.asd.gov.au/infosec/irap/certified_clouds.htm" TargetMode="External"/><Relationship Id="rId27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4B88"/>
      </a:dk2>
      <a:lt2>
        <a:srgbClr val="FFFFFF"/>
      </a:lt2>
      <a:accent1>
        <a:srgbClr val="7F7F7F"/>
      </a:accent1>
      <a:accent2>
        <a:srgbClr val="3F3F3F"/>
      </a:accent2>
      <a:accent3>
        <a:srgbClr val="595959"/>
      </a:accent3>
      <a:accent4>
        <a:srgbClr val="7F7F7F"/>
      </a:accent4>
      <a:accent5>
        <a:srgbClr val="7F7F7F"/>
      </a:accent5>
      <a:accent6>
        <a:srgbClr val="004B88"/>
      </a:accent6>
      <a:hlink>
        <a:srgbClr val="004B88"/>
      </a:hlink>
      <a:folHlink>
        <a:srgbClr val="7F7F7F"/>
      </a:folHlink>
    </a:clrScheme>
    <a:fontScheme name="DPC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950D857677C488F2C4D84FC942EB1" ma:contentTypeVersion="15" ma:contentTypeDescription="Create a new document." ma:contentTypeScope="" ma:versionID="2cd3b12f023b2762ff25db9608dcc035">
  <xsd:schema xmlns:xsd="http://www.w3.org/2001/XMLSchema" xmlns:xs="http://www.w3.org/2001/XMLSchema" xmlns:p="http://schemas.microsoft.com/office/2006/metadata/properties" xmlns:ns1="http://schemas.microsoft.com/sharepoint/v3" xmlns:ns3="a6c40bed-2bfc-42a1-8d27-600082755a93" xmlns:ns4="5b425e1c-643d-4e81-8ca8-4fb24ba6fd36" targetNamespace="http://schemas.microsoft.com/office/2006/metadata/properties" ma:root="true" ma:fieldsID="25f954b952445a8e9bd4b879f556cc15" ns1:_="" ns3:_="" ns4:_="">
    <xsd:import namespace="http://schemas.microsoft.com/sharepoint/v3"/>
    <xsd:import namespace="a6c40bed-2bfc-42a1-8d27-600082755a93"/>
    <xsd:import namespace="5b425e1c-643d-4e81-8ca8-4fb24ba6fd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40bed-2bfc-42a1-8d27-600082755a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25e1c-643d-4e81-8ca8-4fb24ba6f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73F20E-2463-422C-8B3C-EECF79CD8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c40bed-2bfc-42a1-8d27-600082755a93"/>
    <ds:schemaRef ds:uri="5b425e1c-643d-4e81-8ca8-4fb24ba6f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56546-4390-441E-99B7-24F8BD181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8EE89-7268-415E-A994-AB104396DEC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a6c40bed-2bfc-42a1-8d27-600082755a93"/>
    <ds:schemaRef ds:uri="http://schemas.microsoft.com/office/infopath/2007/PartnerControls"/>
    <ds:schemaRef ds:uri="http://schemas.openxmlformats.org/package/2006/metadata/core-properties"/>
    <ds:schemaRef ds:uri="5b425e1c-643d-4e81-8ca8-4fb24ba6fd3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2020-08-18T06:26:00Z</dcterms:created>
  <dcterms:modified xsi:type="dcterms:W3CDTF">2020-08-18T06:26:00Z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0x010100B8C950D857677C488F2C4D84FC942EB1</vt:lpwstr>
  </property>
</Properties>
</file>