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C272B2" w14:textId="77777777" w:rsidR="00A72810" w:rsidRDefault="00A72810" w:rsidP="00E519CB">
      <w:bookmarkStart w:id="0" w:name="_Hlk521945910"/>
      <w:bookmarkStart w:id="1" w:name="_GoBack"/>
      <w:bookmarkEnd w:id="1"/>
    </w:p>
    <w:p w14:paraId="12F36506" w14:textId="77777777" w:rsidR="00A72810" w:rsidRDefault="00A72810" w:rsidP="00E519CB"/>
    <w:p w14:paraId="4568F41F" w14:textId="5BB6E81C" w:rsidR="00E12662" w:rsidRPr="00834CAD" w:rsidRDefault="00E12662" w:rsidP="00E519CB">
      <w:r w:rsidRPr="00834CAD">
        <w:t>DPC/G3.4</w:t>
      </w:r>
    </w:p>
    <w:p w14:paraId="666A1F5A" w14:textId="77777777" w:rsidR="00E12662" w:rsidRPr="00834CAD" w:rsidRDefault="00E12662" w:rsidP="00E12662">
      <w:r>
        <w:t>ACROSS GOVERNMENT POLICY</w:t>
      </w:r>
    </w:p>
    <w:p w14:paraId="1041B496" w14:textId="2BBBB179" w:rsidR="00E12662" w:rsidRPr="007F0198" w:rsidRDefault="005262B9" w:rsidP="00133879">
      <w:pPr>
        <w:pStyle w:val="Title"/>
      </w:pPr>
      <w:r>
        <w:t>Cloud services planning g</w:t>
      </w:r>
      <w:r w:rsidR="00E12662">
        <w:t>uideline</w:t>
      </w:r>
    </w:p>
    <w:bookmarkEnd w:id="0"/>
    <w:p w14:paraId="43B99FC1" w14:textId="77777777" w:rsidR="00E12662" w:rsidRPr="008A0B33" w:rsidRDefault="00E12662" w:rsidP="00E12662">
      <w:pPr>
        <w:pStyle w:val="Heading1"/>
      </w:pPr>
      <w:r>
        <w:t>Introduction</w:t>
      </w:r>
    </w:p>
    <w:p w14:paraId="433290F8" w14:textId="77777777" w:rsidR="00E12662" w:rsidRPr="00F20675" w:rsidRDefault="00E12662" w:rsidP="00E12662">
      <w:pPr>
        <w:pStyle w:val="-Normal-"/>
      </w:pPr>
      <w:r w:rsidRPr="00F20675">
        <w:t xml:space="preserve">Cloud services present many opportunities, including the potential to reduce </w:t>
      </w:r>
      <w:r>
        <w:t xml:space="preserve">electronic storage and internal ICT </w:t>
      </w:r>
      <w:r w:rsidRPr="00F20675">
        <w:t>c</w:t>
      </w:r>
      <w:r>
        <w:t>apital investment requirements.</w:t>
      </w:r>
    </w:p>
    <w:p w14:paraId="05F05C7A" w14:textId="77777777" w:rsidR="00E12662" w:rsidRDefault="00E12662" w:rsidP="00E12662">
      <w:pPr>
        <w:pStyle w:val="-Normal-"/>
      </w:pPr>
      <w:r w:rsidRPr="00604505">
        <w:t xml:space="preserve">For </w:t>
      </w:r>
      <w:r w:rsidRPr="00115CB8">
        <w:t xml:space="preserve">any </w:t>
      </w:r>
      <w:r>
        <w:t>business transformation</w:t>
      </w:r>
      <w:r w:rsidRPr="00115CB8">
        <w:t xml:space="preserve"> project</w:t>
      </w:r>
      <w:r>
        <w:t>,</w:t>
      </w:r>
      <w:r w:rsidRPr="00115CB8">
        <w:t xml:space="preserve"> standard considerations and processes</w:t>
      </w:r>
      <w:r>
        <w:t xml:space="preserve"> include elements such as project planning, </w:t>
      </w:r>
      <w:r w:rsidRPr="00115CB8">
        <w:t>technical specifications, budget</w:t>
      </w:r>
      <w:r>
        <w:t xml:space="preserve"> and </w:t>
      </w:r>
      <w:r w:rsidRPr="00115CB8">
        <w:t>risk.</w:t>
      </w:r>
      <w:r>
        <w:t xml:space="preserve"> </w:t>
      </w:r>
      <w:r w:rsidRPr="00604505">
        <w:t>For cloud services, there are additional considerations.</w:t>
      </w:r>
      <w:r>
        <w:t xml:space="preserve"> </w:t>
      </w:r>
      <w:r w:rsidRPr="00115CB8">
        <w:t>This seri</w:t>
      </w:r>
      <w:r w:rsidRPr="00604505">
        <w:t xml:space="preserve">es of </w:t>
      </w:r>
      <w:r>
        <w:t>cloud s</w:t>
      </w:r>
      <w:r w:rsidRPr="00604505">
        <w:t xml:space="preserve">ervices </w:t>
      </w:r>
      <w:r>
        <w:t>g</w:t>
      </w:r>
      <w:r w:rsidRPr="00604505">
        <w:t xml:space="preserve">uidelines </w:t>
      </w:r>
      <w:r w:rsidRPr="00115CB8">
        <w:t>ar</w:t>
      </w:r>
      <w:r>
        <w:t>ticulates those considerations.</w:t>
      </w:r>
    </w:p>
    <w:p w14:paraId="71187AC0" w14:textId="77777777" w:rsidR="00E12662" w:rsidRPr="008A0B33" w:rsidRDefault="00E12662" w:rsidP="00E12662">
      <w:pPr>
        <w:pStyle w:val="Heading1"/>
      </w:pPr>
      <w:r>
        <w:t>Purpose</w:t>
      </w:r>
    </w:p>
    <w:p w14:paraId="532A0E10" w14:textId="77777777" w:rsidR="00E12662" w:rsidRDefault="00E12662" w:rsidP="00E12662">
      <w:pPr>
        <w:pStyle w:val="-Normal-"/>
      </w:pPr>
      <w:r>
        <w:t>This guideline covers a broad range of subject areas. It is intended to assist in the planning process especially for those agencies who have less experience in leveraging cloud services. For others who are more experienced it may act as a useful check list. Importantly, the guideline encourages agencies to consider all these areas in the early stages of planning.</w:t>
      </w:r>
    </w:p>
    <w:p w14:paraId="0F6A4E76" w14:textId="77777777" w:rsidR="00E12662" w:rsidRDefault="00E12662" w:rsidP="00E12662">
      <w:pPr>
        <w:pStyle w:val="Heading1"/>
      </w:pPr>
      <w:r>
        <w:t>Guidance</w:t>
      </w:r>
    </w:p>
    <w:p w14:paraId="7C50C5C0" w14:textId="77777777" w:rsidR="00E12662" w:rsidRPr="00CD02A1" w:rsidRDefault="00E12662" w:rsidP="00E12662">
      <w:pPr>
        <w:pStyle w:val="Heading2"/>
      </w:pPr>
      <w:r w:rsidRPr="00CD02A1">
        <w:t>Approach</w:t>
      </w:r>
    </w:p>
    <w:p w14:paraId="41BF627E" w14:textId="77777777" w:rsidR="00E12662" w:rsidRDefault="00E12662" w:rsidP="00E12662">
      <w:pPr>
        <w:pStyle w:val="-Normal-"/>
      </w:pPr>
      <w:r>
        <w:t>When considering cloud services, it is important to correctly identify real concerns without creating barriers based on fear of new technology. You can do this effectively by learning from others’ experiences, thoughtfully selecting the service and model for deployment that best fits your agency’s risk tolerance, taking an agile approach to development and creating relationships with trusted vendors.</w:t>
      </w:r>
    </w:p>
    <w:p w14:paraId="66324C78" w14:textId="58CDF80C" w:rsidR="00E12662" w:rsidRPr="00F20B1A" w:rsidRDefault="00E12662" w:rsidP="00E12662">
      <w:pPr>
        <w:pStyle w:val="Heading2"/>
      </w:pPr>
      <w:r>
        <w:t xml:space="preserve">Identifying </w:t>
      </w:r>
      <w:r w:rsidR="00354CF4">
        <w:t>o</w:t>
      </w:r>
      <w:r>
        <w:t>pportunities</w:t>
      </w:r>
    </w:p>
    <w:p w14:paraId="32AC897C" w14:textId="77777777" w:rsidR="00E12662" w:rsidRPr="00F20675" w:rsidRDefault="00E12662" w:rsidP="00E12662">
      <w:pPr>
        <w:pStyle w:val="-Normal-"/>
      </w:pPr>
      <w:r w:rsidRPr="00F20675">
        <w:t>Cloud services need to align with an agency’s business and ICT strategies. They</w:t>
      </w:r>
      <w:r>
        <w:t xml:space="preserve"> also need to align with across </w:t>
      </w:r>
      <w:r w:rsidRPr="00F20675">
        <w:t>government strategies and policies, for</w:t>
      </w:r>
      <w:r>
        <w:t xml:space="preserve"> example, information security.</w:t>
      </w:r>
    </w:p>
    <w:p w14:paraId="2023377C" w14:textId="77777777" w:rsidR="00E12662" w:rsidRPr="00F20675" w:rsidRDefault="00E12662" w:rsidP="00E12662">
      <w:pPr>
        <w:pStyle w:val="-Normal-"/>
      </w:pPr>
      <w:r>
        <w:t xml:space="preserve">Legacy system replacement, </w:t>
      </w:r>
      <w:r w:rsidRPr="00F20675">
        <w:t>technolog</w:t>
      </w:r>
      <w:r>
        <w:t>y</w:t>
      </w:r>
      <w:r w:rsidRPr="00F20675">
        <w:t xml:space="preserve"> refreshes </w:t>
      </w:r>
      <w:r>
        <w:t xml:space="preserve">and new service development provide </w:t>
      </w:r>
      <w:r w:rsidRPr="00F20675">
        <w:t xml:space="preserve">good </w:t>
      </w:r>
      <w:r>
        <w:t>opportunities to consider cloud services.</w:t>
      </w:r>
    </w:p>
    <w:p w14:paraId="021456EF" w14:textId="77777777" w:rsidR="00E12662" w:rsidRDefault="00E12662" w:rsidP="00E12662">
      <w:pPr>
        <w:pStyle w:val="-Normal-"/>
      </w:pPr>
      <w:r w:rsidRPr="00F20675">
        <w:t xml:space="preserve">For those experimenting with cloud services, an easy, low risk </w:t>
      </w:r>
      <w:r>
        <w:t>pilot is a good starting point.</w:t>
      </w:r>
      <w:r w:rsidRPr="00F20675">
        <w:t xml:space="preserve"> Using an agile delivery approach, agencies can quickly learn what works and</w:t>
      </w:r>
      <w:r>
        <w:t xml:space="preserve"> what doesn’t. </w:t>
      </w:r>
      <w:r w:rsidRPr="00F20675">
        <w:t>Taking an</w:t>
      </w:r>
      <w:r>
        <w:t xml:space="preserve"> </w:t>
      </w:r>
      <w:r w:rsidRPr="00F20675">
        <w:t xml:space="preserve">iterative approach allows successful pilots to move through project stages without delay. </w:t>
      </w:r>
      <w:r>
        <w:t xml:space="preserve">Iterating also creates learning </w:t>
      </w:r>
      <w:r w:rsidRPr="00F20675">
        <w:t>for other projects.</w:t>
      </w:r>
    </w:p>
    <w:p w14:paraId="11EB6A7A" w14:textId="77777777" w:rsidR="00AC1059" w:rsidRDefault="00AC1059" w:rsidP="00E12662">
      <w:pPr>
        <w:pStyle w:val="-Normal-"/>
      </w:pPr>
      <w:r>
        <w:br w:type="page"/>
      </w:r>
    </w:p>
    <w:p w14:paraId="7DCEA0C4" w14:textId="699B9D38" w:rsidR="00E12662" w:rsidRPr="00671BB9" w:rsidRDefault="00E12662" w:rsidP="00E12662">
      <w:pPr>
        <w:pStyle w:val="-Normal-"/>
      </w:pPr>
      <w:r w:rsidRPr="00671BB9">
        <w:lastRenderedPageBreak/>
        <w:t xml:space="preserve">Your </w:t>
      </w:r>
      <w:r>
        <w:t>activity may be</w:t>
      </w:r>
      <w:r w:rsidRPr="00671BB9">
        <w:t xml:space="preserve"> well suited for cloud</w:t>
      </w:r>
      <w:r>
        <w:t xml:space="preserve"> services</w:t>
      </w:r>
      <w:r w:rsidRPr="00671BB9">
        <w:t xml:space="preserve"> if any of the following </w:t>
      </w:r>
      <w:r>
        <w:t>are</w:t>
      </w:r>
      <w:r w:rsidRPr="00671BB9">
        <w:t xml:space="preserve"> true:</w:t>
      </w:r>
    </w:p>
    <w:p w14:paraId="7AFA78BC" w14:textId="762EA937" w:rsidR="00E12662" w:rsidRPr="00710B59" w:rsidRDefault="00E12662" w:rsidP="00710B59">
      <w:pPr>
        <w:pStyle w:val="ListParagraph"/>
        <w:rPr>
          <w:u w:val="none"/>
        </w:rPr>
      </w:pPr>
      <w:r w:rsidRPr="00710B59">
        <w:rPr>
          <w:u w:val="none"/>
        </w:rPr>
        <w:t xml:space="preserve">you need to reach your users anywhere they are via the </w:t>
      </w:r>
      <w:r w:rsidR="007F5E7C">
        <w:rPr>
          <w:u w:val="none"/>
        </w:rPr>
        <w:t>i</w:t>
      </w:r>
      <w:r w:rsidRPr="00710B59">
        <w:rPr>
          <w:u w:val="none"/>
        </w:rPr>
        <w:t>nternet</w:t>
      </w:r>
    </w:p>
    <w:p w14:paraId="75F6B61C" w14:textId="77777777" w:rsidR="00E12662" w:rsidRPr="00710B59" w:rsidRDefault="00E12662" w:rsidP="00710B59">
      <w:pPr>
        <w:pStyle w:val="ListParagraph"/>
        <w:rPr>
          <w:u w:val="none"/>
        </w:rPr>
      </w:pPr>
      <w:r w:rsidRPr="00710B59">
        <w:rPr>
          <w:u w:val="none"/>
        </w:rPr>
        <w:t>you are building a customer-facing service that requires wide scalability</w:t>
      </w:r>
    </w:p>
    <w:p w14:paraId="14B54D15" w14:textId="77777777" w:rsidR="00E12662" w:rsidRPr="00710B59" w:rsidRDefault="00E12662" w:rsidP="00710B59">
      <w:pPr>
        <w:pStyle w:val="ListParagraph"/>
        <w:rPr>
          <w:u w:val="none"/>
        </w:rPr>
      </w:pPr>
      <w:r w:rsidRPr="00710B59">
        <w:rPr>
          <w:u w:val="none"/>
        </w:rPr>
        <w:t>you need to build a highly available and highly distributed network</w:t>
      </w:r>
    </w:p>
    <w:p w14:paraId="0A5ACA51" w14:textId="77777777" w:rsidR="00E12662" w:rsidRPr="00710B59" w:rsidRDefault="00E12662" w:rsidP="00710B59">
      <w:pPr>
        <w:pStyle w:val="ListParagraph"/>
        <w:rPr>
          <w:u w:val="none"/>
        </w:rPr>
      </w:pPr>
      <w:r w:rsidRPr="00710B59">
        <w:rPr>
          <w:u w:val="none"/>
        </w:rPr>
        <w:t>you require the ability to quickly build servers</w:t>
      </w:r>
    </w:p>
    <w:p w14:paraId="581034EE" w14:textId="77777777" w:rsidR="00E12662" w:rsidRPr="00710B59" w:rsidRDefault="00E12662" w:rsidP="00710B59">
      <w:pPr>
        <w:pStyle w:val="ListParagraph"/>
        <w:rPr>
          <w:u w:val="none"/>
        </w:rPr>
      </w:pPr>
      <w:r w:rsidRPr="00710B59">
        <w:rPr>
          <w:u w:val="none"/>
        </w:rPr>
        <w:t>you have no current physical footprint or data centre</w:t>
      </w:r>
    </w:p>
    <w:p w14:paraId="00CB6E73" w14:textId="77777777" w:rsidR="00E12662" w:rsidRPr="00710B59" w:rsidRDefault="00E12662" w:rsidP="00710B59">
      <w:pPr>
        <w:pStyle w:val="ListParagraph"/>
        <w:rPr>
          <w:u w:val="none"/>
        </w:rPr>
      </w:pPr>
      <w:r w:rsidRPr="00710B59">
        <w:rPr>
          <w:u w:val="none"/>
        </w:rPr>
        <w:t>you don't have the time, core skills or resources to manage your own ICT infrastructure</w:t>
      </w:r>
    </w:p>
    <w:p w14:paraId="1758D90B" w14:textId="77777777" w:rsidR="00E12662" w:rsidRPr="00710B59" w:rsidRDefault="00E12662" w:rsidP="00710B59">
      <w:pPr>
        <w:pStyle w:val="ListParagraph"/>
        <w:rPr>
          <w:u w:val="none"/>
        </w:rPr>
      </w:pPr>
      <w:r w:rsidRPr="00710B59">
        <w:rPr>
          <w:u w:val="none"/>
        </w:rPr>
        <w:t>you have robust and reliable options to connect to cloud service providers.</w:t>
      </w:r>
    </w:p>
    <w:p w14:paraId="468B355E" w14:textId="77777777" w:rsidR="00E12662" w:rsidRPr="00671BB9" w:rsidRDefault="00E12662" w:rsidP="00E12662">
      <w:pPr>
        <w:pStyle w:val="-Normal-"/>
      </w:pPr>
      <w:r w:rsidRPr="00671BB9">
        <w:t xml:space="preserve">Your </w:t>
      </w:r>
      <w:r>
        <w:t>activity</w:t>
      </w:r>
      <w:r w:rsidRPr="00671BB9">
        <w:t xml:space="preserve"> may not be suited for </w:t>
      </w:r>
      <w:r>
        <w:t xml:space="preserve">cloud services </w:t>
      </w:r>
      <w:r w:rsidRPr="00671BB9">
        <w:t>if any of the following is true:</w:t>
      </w:r>
    </w:p>
    <w:p w14:paraId="658B293B" w14:textId="77777777" w:rsidR="00E12662" w:rsidRPr="00710B59" w:rsidRDefault="00E12662" w:rsidP="00710B59">
      <w:pPr>
        <w:pStyle w:val="ListParagraph"/>
        <w:rPr>
          <w:u w:val="none"/>
        </w:rPr>
      </w:pPr>
      <w:r w:rsidRPr="00710B59">
        <w:rPr>
          <w:u w:val="none"/>
        </w:rPr>
        <w:t>your data classification requirements mean that your data is not allowed to leave a local network</w:t>
      </w:r>
    </w:p>
    <w:p w14:paraId="26B9A8EE" w14:textId="77777777" w:rsidR="00E12662" w:rsidRPr="00710B59" w:rsidRDefault="00E12662" w:rsidP="00710B59">
      <w:pPr>
        <w:pStyle w:val="ListParagraph"/>
        <w:rPr>
          <w:u w:val="none"/>
        </w:rPr>
      </w:pPr>
      <w:r w:rsidRPr="00710B59">
        <w:rPr>
          <w:u w:val="none"/>
        </w:rPr>
        <w:t>your data classification requirements exclude appropriate certified cloud providers (eg those that that have no on shore facilities)</w:t>
      </w:r>
    </w:p>
    <w:p w14:paraId="3B928CE6" w14:textId="77777777" w:rsidR="00E12662" w:rsidRPr="00710B59" w:rsidRDefault="00E12662" w:rsidP="00710B59">
      <w:pPr>
        <w:pStyle w:val="ListParagraph"/>
        <w:rPr>
          <w:u w:val="none"/>
        </w:rPr>
      </w:pPr>
      <w:r w:rsidRPr="00710B59">
        <w:rPr>
          <w:u w:val="none"/>
        </w:rPr>
        <w:t>your applications are not cloud-ready as they have unsuitable hosting requirements or weren’t designed with the cloud in mind</w:t>
      </w:r>
    </w:p>
    <w:p w14:paraId="0034369D" w14:textId="77777777" w:rsidR="00E12662" w:rsidRPr="00710B59" w:rsidRDefault="00E12662" w:rsidP="00710B59">
      <w:pPr>
        <w:pStyle w:val="ListParagraph"/>
        <w:rPr>
          <w:u w:val="none"/>
        </w:rPr>
      </w:pPr>
      <w:r w:rsidRPr="00710B59">
        <w:rPr>
          <w:u w:val="none"/>
        </w:rPr>
        <w:t>the Total Cost of Opportunity for a particular cloud solution outweighs the benefits</w:t>
      </w:r>
    </w:p>
    <w:p w14:paraId="6E1FDD74" w14:textId="77777777" w:rsidR="00E12662" w:rsidRPr="00710B59" w:rsidRDefault="00E12662" w:rsidP="00710B59">
      <w:pPr>
        <w:pStyle w:val="ListParagraph"/>
        <w:rPr>
          <w:u w:val="none"/>
        </w:rPr>
      </w:pPr>
      <w:r w:rsidRPr="00710B59">
        <w:rPr>
          <w:u w:val="none"/>
        </w:rPr>
        <w:t>the timing is not right and cloud migration creates a conflict of priorities</w:t>
      </w:r>
    </w:p>
    <w:p w14:paraId="577FA2BA" w14:textId="77777777" w:rsidR="00E12662" w:rsidRPr="00710B59" w:rsidRDefault="00E12662" w:rsidP="00710B59">
      <w:pPr>
        <w:pStyle w:val="ListParagraph"/>
        <w:rPr>
          <w:u w:val="none"/>
        </w:rPr>
      </w:pPr>
      <w:r w:rsidRPr="00710B59">
        <w:rPr>
          <w:u w:val="none"/>
        </w:rPr>
        <w:t>your organisation does not have the skills required for the cloud.</w:t>
      </w:r>
    </w:p>
    <w:p w14:paraId="56929DE6" w14:textId="54214E77" w:rsidR="00E12662" w:rsidRPr="00F20675" w:rsidRDefault="00E12662" w:rsidP="00E12662">
      <w:pPr>
        <w:pStyle w:val="-Normal-"/>
      </w:pPr>
      <w:r w:rsidRPr="00F20675">
        <w:t>There is increasing opportunity for agencies</w:t>
      </w:r>
      <w:r>
        <w:t xml:space="preserve"> </w:t>
      </w:r>
      <w:r w:rsidRPr="00F20675">
        <w:t>to share information as cloud services mature. Even where business requirements vary, shared experiences can be</w:t>
      </w:r>
      <w:r>
        <w:t xml:space="preserve"> valuable.</w:t>
      </w:r>
    </w:p>
    <w:p w14:paraId="51C062B6" w14:textId="77777777" w:rsidR="00E12662" w:rsidRDefault="00E12662" w:rsidP="00E12662">
      <w:pPr>
        <w:spacing w:after="0" w:line="240" w:lineRule="auto"/>
        <w:rPr>
          <w:rFonts w:eastAsiaTheme="majorEastAsia" w:cstheme="majorBidi"/>
          <w:b/>
          <w:color w:val="000000" w:themeColor="text1"/>
          <w:szCs w:val="26"/>
        </w:rPr>
      </w:pPr>
      <w:r>
        <w:br w:type="page"/>
      </w:r>
    </w:p>
    <w:p w14:paraId="5C97B802" w14:textId="77777777" w:rsidR="00E12662" w:rsidRPr="00106306" w:rsidRDefault="00E12662" w:rsidP="00E12662">
      <w:pPr>
        <w:pStyle w:val="Heading2"/>
      </w:pPr>
      <w:r>
        <w:lastRenderedPageBreak/>
        <w:t>Choosing a Cloud Service and Deployment Model</w:t>
      </w:r>
    </w:p>
    <w:p w14:paraId="437B010A" w14:textId="77777777" w:rsidR="00E12662" w:rsidRDefault="00E12662" w:rsidP="00E12662">
      <w:pPr>
        <w:pStyle w:val="-Normal-"/>
      </w:pPr>
      <w:r w:rsidRPr="00CF3089">
        <w:t>There are three cloud service models:</w:t>
      </w:r>
    </w:p>
    <w:tbl>
      <w:tblPr>
        <w:tblStyle w:val="DPCTable1"/>
        <w:tblpPr w:leftFromText="180" w:rightFromText="180" w:vertAnchor="text" w:horzAnchor="margin" w:tblpY="-35"/>
        <w:tblW w:w="9632" w:type="dxa"/>
        <w:tblBorders>
          <w:top w:val="single" w:sz="12" w:space="0" w:color="004B88" w:themeColor="text2"/>
          <w:bottom w:val="single" w:sz="12" w:space="0" w:color="004B88" w:themeColor="text2"/>
        </w:tblBorders>
        <w:tblLook w:val="04A0" w:firstRow="1" w:lastRow="0" w:firstColumn="1" w:lastColumn="0" w:noHBand="0" w:noVBand="1"/>
      </w:tblPr>
      <w:tblGrid>
        <w:gridCol w:w="3214"/>
        <w:gridCol w:w="3209"/>
        <w:gridCol w:w="3209"/>
      </w:tblGrid>
      <w:tr w:rsidR="00E12662" w:rsidRPr="00F26C2C" w14:paraId="41863D41" w14:textId="77777777" w:rsidTr="00AF3B53">
        <w:trPr>
          <w:cnfStyle w:val="100000000000" w:firstRow="1" w:lastRow="0" w:firstColumn="0" w:lastColumn="0" w:oddVBand="0" w:evenVBand="0" w:oddHBand="0" w:evenHBand="0" w:firstRowFirstColumn="0" w:firstRowLastColumn="0" w:lastRowFirstColumn="0" w:lastRowLastColumn="0"/>
        </w:trPr>
        <w:tc>
          <w:tcPr>
            <w:tcW w:w="3214" w:type="dxa"/>
            <w:tcBorders>
              <w:top w:val="none" w:sz="0" w:space="0" w:color="auto"/>
              <w:left w:val="none" w:sz="0" w:space="0" w:color="auto"/>
              <w:bottom w:val="single" w:sz="4" w:space="0" w:color="BFBFBF" w:themeColor="background1" w:themeShade="BF"/>
              <w:right w:val="none" w:sz="0" w:space="0" w:color="auto"/>
            </w:tcBorders>
            <w:shd w:val="clear" w:color="auto" w:fill="004B88" w:themeFill="text2"/>
            <w:vAlign w:val="center"/>
          </w:tcPr>
          <w:p w14:paraId="60E3AE14" w14:textId="77777777" w:rsidR="00E12662" w:rsidRPr="00F26C2C" w:rsidRDefault="00E12662" w:rsidP="00AF3B53">
            <w:pPr>
              <w:pStyle w:val="TableHeading1"/>
              <w:jc w:val="center"/>
              <w:rPr>
                <w:rFonts w:ascii="Arial" w:hAnsi="Arial" w:cs="Arial"/>
                <w:b/>
              </w:rPr>
            </w:pPr>
            <w:r>
              <w:rPr>
                <w:rFonts w:ascii="Arial" w:hAnsi="Arial" w:cs="Arial"/>
                <w:b/>
              </w:rPr>
              <w:t>Model</w:t>
            </w:r>
          </w:p>
        </w:tc>
        <w:tc>
          <w:tcPr>
            <w:tcW w:w="3209" w:type="dxa"/>
            <w:tcBorders>
              <w:top w:val="none" w:sz="0" w:space="0" w:color="auto"/>
              <w:left w:val="none" w:sz="0" w:space="0" w:color="auto"/>
              <w:bottom w:val="single" w:sz="4" w:space="0" w:color="BFBFBF" w:themeColor="background1" w:themeShade="BF"/>
              <w:right w:val="none" w:sz="0" w:space="0" w:color="auto"/>
            </w:tcBorders>
            <w:shd w:val="clear" w:color="auto" w:fill="004B88" w:themeFill="text2"/>
            <w:vAlign w:val="center"/>
          </w:tcPr>
          <w:p w14:paraId="199A201E" w14:textId="77777777" w:rsidR="00E12662" w:rsidRPr="00F26C2C" w:rsidRDefault="00E12662" w:rsidP="00AF3B53">
            <w:pPr>
              <w:pStyle w:val="TableHeading1"/>
              <w:jc w:val="center"/>
              <w:rPr>
                <w:rFonts w:ascii="Arial" w:hAnsi="Arial" w:cs="Arial"/>
                <w:b/>
              </w:rPr>
            </w:pPr>
            <w:r>
              <w:rPr>
                <w:rFonts w:ascii="Arial" w:hAnsi="Arial" w:cs="Arial"/>
                <w:b/>
              </w:rPr>
              <w:t>Potential Advantages</w:t>
            </w:r>
          </w:p>
        </w:tc>
        <w:tc>
          <w:tcPr>
            <w:tcW w:w="3209" w:type="dxa"/>
            <w:tcBorders>
              <w:top w:val="none" w:sz="0" w:space="0" w:color="auto"/>
              <w:left w:val="none" w:sz="0" w:space="0" w:color="auto"/>
              <w:bottom w:val="single" w:sz="4" w:space="0" w:color="BFBFBF" w:themeColor="background1" w:themeShade="BF"/>
              <w:right w:val="none" w:sz="0" w:space="0" w:color="auto"/>
            </w:tcBorders>
            <w:shd w:val="clear" w:color="auto" w:fill="004B88" w:themeFill="text2"/>
            <w:vAlign w:val="center"/>
          </w:tcPr>
          <w:p w14:paraId="48CED320" w14:textId="77777777" w:rsidR="00E12662" w:rsidRPr="00F26C2C" w:rsidRDefault="00E12662" w:rsidP="00AF3B53">
            <w:pPr>
              <w:pStyle w:val="TableHeading1"/>
              <w:jc w:val="center"/>
              <w:rPr>
                <w:rFonts w:ascii="Arial" w:hAnsi="Arial" w:cs="Arial"/>
                <w:b/>
              </w:rPr>
            </w:pPr>
            <w:r>
              <w:rPr>
                <w:rFonts w:ascii="Arial" w:hAnsi="Arial" w:cs="Arial"/>
                <w:b/>
              </w:rPr>
              <w:t>Potential Disadvantages</w:t>
            </w:r>
          </w:p>
        </w:tc>
      </w:tr>
      <w:tr w:rsidR="00E12662" w:rsidRPr="00417C99" w14:paraId="4E5DEC1E" w14:textId="77777777" w:rsidTr="00AF3B53">
        <w:tc>
          <w:tcPr>
            <w:tcW w:w="3214" w:type="dxa"/>
            <w:tcBorders>
              <w:top w:val="single" w:sz="4" w:space="0" w:color="BFBFBF" w:themeColor="background1" w:themeShade="BF"/>
              <w:bottom w:val="single" w:sz="4" w:space="0" w:color="FFFFFF" w:themeColor="background1"/>
              <w:right w:val="nil"/>
            </w:tcBorders>
            <w:shd w:val="clear" w:color="auto" w:fill="DDE0E7"/>
          </w:tcPr>
          <w:p w14:paraId="55E8BD28" w14:textId="77777777" w:rsidR="00E12662" w:rsidRPr="00BC41B4" w:rsidRDefault="00E12662" w:rsidP="00AF3B53">
            <w:pPr>
              <w:pStyle w:val="TableHeading1"/>
              <w:rPr>
                <w:sz w:val="20"/>
              </w:rPr>
            </w:pPr>
            <w:r w:rsidRPr="00BC41B4">
              <w:rPr>
                <w:sz w:val="20"/>
              </w:rPr>
              <w:t>Software as a Service (SaaS)</w:t>
            </w:r>
          </w:p>
          <w:p w14:paraId="5CAD7980" w14:textId="77777777" w:rsidR="00E12662" w:rsidRPr="00BC41B4" w:rsidRDefault="00E12662" w:rsidP="00AF3B53">
            <w:pPr>
              <w:pStyle w:val="TableText"/>
            </w:pPr>
            <w:r w:rsidRPr="00BC41B4">
              <w:rPr>
                <w:sz w:val="20"/>
              </w:rPr>
              <w:t>Providers’ applications running on cloud infrastructure are accessed through thin-client (eg web browser) or program interfaces</w:t>
            </w:r>
          </w:p>
        </w:tc>
        <w:tc>
          <w:tcPr>
            <w:tcW w:w="3209" w:type="dxa"/>
            <w:tcBorders>
              <w:top w:val="single" w:sz="4" w:space="0" w:color="BFBFBF" w:themeColor="background1" w:themeShade="BF"/>
              <w:left w:val="nil"/>
              <w:bottom w:val="single" w:sz="4" w:space="0" w:color="FFFFFF" w:themeColor="background1"/>
              <w:right w:val="nil"/>
            </w:tcBorders>
            <w:shd w:val="clear" w:color="auto" w:fill="DDE0E7"/>
          </w:tcPr>
          <w:p w14:paraId="061B18C4" w14:textId="77777777" w:rsidR="00E12662" w:rsidRPr="00BC41B4" w:rsidRDefault="00E12662" w:rsidP="00E12662">
            <w:pPr>
              <w:pStyle w:val="TableText"/>
              <w:numPr>
                <w:ilvl w:val="0"/>
                <w:numId w:val="14"/>
              </w:numPr>
              <w:ind w:left="284" w:hanging="284"/>
              <w:rPr>
                <w:sz w:val="20"/>
                <w:lang w:val="en"/>
              </w:rPr>
            </w:pPr>
            <w:r w:rsidRPr="00BC41B4">
              <w:rPr>
                <w:sz w:val="20"/>
                <w:lang w:val="en"/>
              </w:rPr>
              <w:t>Easy technology setup</w:t>
            </w:r>
          </w:p>
          <w:p w14:paraId="5891D4F1" w14:textId="77777777" w:rsidR="00E12662" w:rsidRPr="00BC41B4" w:rsidRDefault="00E12662" w:rsidP="00E12662">
            <w:pPr>
              <w:pStyle w:val="TableText"/>
              <w:numPr>
                <w:ilvl w:val="0"/>
                <w:numId w:val="14"/>
              </w:numPr>
              <w:ind w:left="284" w:hanging="284"/>
              <w:rPr>
                <w:sz w:val="20"/>
                <w:lang w:val="en"/>
              </w:rPr>
            </w:pPr>
            <w:r w:rsidRPr="00BC41B4">
              <w:rPr>
                <w:sz w:val="20"/>
                <w:lang w:val="en"/>
              </w:rPr>
              <w:t>Rapid deployment</w:t>
            </w:r>
          </w:p>
          <w:p w14:paraId="6DA3152A" w14:textId="77777777" w:rsidR="00E12662" w:rsidRPr="00BC41B4" w:rsidRDefault="00E12662" w:rsidP="00E12662">
            <w:pPr>
              <w:pStyle w:val="TableText"/>
              <w:numPr>
                <w:ilvl w:val="0"/>
                <w:numId w:val="14"/>
              </w:numPr>
              <w:ind w:left="284" w:hanging="284"/>
              <w:rPr>
                <w:sz w:val="20"/>
                <w:lang w:val="en"/>
              </w:rPr>
            </w:pPr>
            <w:r w:rsidRPr="00BC41B4">
              <w:rPr>
                <w:sz w:val="20"/>
                <w:lang w:val="en"/>
              </w:rPr>
              <w:t>No upfront capital investment</w:t>
            </w:r>
          </w:p>
          <w:p w14:paraId="246FD084" w14:textId="77777777" w:rsidR="00E12662" w:rsidRPr="00BC41B4" w:rsidRDefault="00E12662" w:rsidP="00E12662">
            <w:pPr>
              <w:pStyle w:val="TableText"/>
              <w:numPr>
                <w:ilvl w:val="0"/>
                <w:numId w:val="14"/>
              </w:numPr>
              <w:ind w:left="284" w:hanging="284"/>
              <w:rPr>
                <w:sz w:val="20"/>
                <w:lang w:val="en"/>
              </w:rPr>
            </w:pPr>
            <w:r w:rsidRPr="00BC41B4">
              <w:rPr>
                <w:sz w:val="20"/>
                <w:lang w:val="en"/>
              </w:rPr>
              <w:t>Typically stable software</w:t>
            </w:r>
          </w:p>
          <w:p w14:paraId="709F0CED" w14:textId="77777777" w:rsidR="00E12662" w:rsidRPr="00BC41B4" w:rsidRDefault="00E12662" w:rsidP="00E12662">
            <w:pPr>
              <w:pStyle w:val="TableText"/>
              <w:numPr>
                <w:ilvl w:val="0"/>
                <w:numId w:val="14"/>
              </w:numPr>
              <w:ind w:left="284" w:hanging="284"/>
              <w:rPr>
                <w:rFonts w:cs="Arial"/>
                <w:sz w:val="20"/>
              </w:rPr>
            </w:pPr>
            <w:r w:rsidRPr="00BC41B4">
              <w:rPr>
                <w:sz w:val="20"/>
                <w:lang w:val="en"/>
              </w:rPr>
              <w:t>Most cost-effective model as only the software is leased</w:t>
            </w:r>
          </w:p>
        </w:tc>
        <w:tc>
          <w:tcPr>
            <w:tcW w:w="3209" w:type="dxa"/>
            <w:tcBorders>
              <w:top w:val="single" w:sz="4" w:space="0" w:color="BFBFBF" w:themeColor="background1" w:themeShade="BF"/>
              <w:left w:val="nil"/>
              <w:bottom w:val="single" w:sz="4" w:space="0" w:color="FFFFFF" w:themeColor="background1"/>
            </w:tcBorders>
            <w:shd w:val="clear" w:color="auto" w:fill="DDE0E7"/>
          </w:tcPr>
          <w:p w14:paraId="20BFCA0C" w14:textId="77777777" w:rsidR="00E12662" w:rsidRPr="00BC41B4" w:rsidRDefault="00E12662" w:rsidP="00E12662">
            <w:pPr>
              <w:pStyle w:val="TableText"/>
              <w:numPr>
                <w:ilvl w:val="0"/>
                <w:numId w:val="14"/>
              </w:numPr>
              <w:ind w:left="284" w:hanging="284"/>
              <w:rPr>
                <w:sz w:val="20"/>
                <w:lang w:val="en"/>
              </w:rPr>
            </w:pPr>
            <w:r w:rsidRPr="00BC41B4">
              <w:rPr>
                <w:sz w:val="20"/>
                <w:lang w:val="en"/>
              </w:rPr>
              <w:t>Little control over deployment, upgrade and testing methodology</w:t>
            </w:r>
          </w:p>
          <w:p w14:paraId="78B70233" w14:textId="77777777" w:rsidR="00E12662" w:rsidRPr="00BC41B4" w:rsidRDefault="00E12662" w:rsidP="00E12662">
            <w:pPr>
              <w:pStyle w:val="TableText"/>
              <w:numPr>
                <w:ilvl w:val="0"/>
                <w:numId w:val="14"/>
              </w:numPr>
              <w:ind w:left="284" w:hanging="284"/>
              <w:rPr>
                <w:sz w:val="20"/>
                <w:lang w:val="en"/>
              </w:rPr>
            </w:pPr>
            <w:r w:rsidRPr="00BC41B4">
              <w:rPr>
                <w:sz w:val="20"/>
                <w:lang w:val="en"/>
              </w:rPr>
              <w:t>Likely limitations on amount of customisation and tailoring</w:t>
            </w:r>
          </w:p>
          <w:p w14:paraId="1FDC688C" w14:textId="77777777" w:rsidR="00E12662" w:rsidRPr="00BC41B4" w:rsidRDefault="00E12662" w:rsidP="00E12662">
            <w:pPr>
              <w:pStyle w:val="TableText"/>
              <w:numPr>
                <w:ilvl w:val="0"/>
                <w:numId w:val="14"/>
              </w:numPr>
              <w:ind w:left="284" w:hanging="284"/>
              <w:rPr>
                <w:sz w:val="20"/>
                <w:lang w:val="en"/>
              </w:rPr>
            </w:pPr>
            <w:r w:rsidRPr="00BC41B4">
              <w:rPr>
                <w:sz w:val="20"/>
                <w:lang w:val="en"/>
              </w:rPr>
              <w:t>Data privacy issues and difficulties in return of customer data</w:t>
            </w:r>
          </w:p>
          <w:p w14:paraId="65A38CD0" w14:textId="77777777" w:rsidR="00E12662" w:rsidRPr="00BC41B4" w:rsidRDefault="00E12662" w:rsidP="00E12662">
            <w:pPr>
              <w:pStyle w:val="TableText"/>
              <w:numPr>
                <w:ilvl w:val="0"/>
                <w:numId w:val="14"/>
              </w:numPr>
              <w:ind w:left="284" w:hanging="284"/>
              <w:rPr>
                <w:rFonts w:cs="Arial"/>
                <w:sz w:val="20"/>
              </w:rPr>
            </w:pPr>
            <w:r w:rsidRPr="00BC41B4">
              <w:rPr>
                <w:sz w:val="20"/>
                <w:lang w:val="en"/>
              </w:rPr>
              <w:t>Integration can be difficult and unsupported (although this is becoming less common with the rise of open APIs)</w:t>
            </w:r>
          </w:p>
        </w:tc>
      </w:tr>
      <w:tr w:rsidR="00E12662" w:rsidRPr="00417C99" w14:paraId="7504FB1D" w14:textId="77777777" w:rsidTr="00AF3B53">
        <w:tc>
          <w:tcPr>
            <w:tcW w:w="3214" w:type="dxa"/>
            <w:tcBorders>
              <w:top w:val="single" w:sz="4" w:space="0" w:color="FFFFFF" w:themeColor="background1"/>
              <w:bottom w:val="single" w:sz="4" w:space="0" w:color="FFFFFF" w:themeColor="background1"/>
              <w:right w:val="nil"/>
            </w:tcBorders>
            <w:shd w:val="clear" w:color="auto" w:fill="DDE0E7"/>
          </w:tcPr>
          <w:p w14:paraId="04380B9A" w14:textId="77777777" w:rsidR="00E12662" w:rsidRPr="00BC41B4" w:rsidRDefault="00E12662" w:rsidP="00AF3B53">
            <w:pPr>
              <w:pStyle w:val="TableHeading1"/>
              <w:rPr>
                <w:sz w:val="20"/>
                <w:szCs w:val="20"/>
              </w:rPr>
            </w:pPr>
            <w:r w:rsidRPr="00BC41B4">
              <w:rPr>
                <w:sz w:val="20"/>
                <w:szCs w:val="20"/>
              </w:rPr>
              <w:t>Platform as a Service (PaaS)</w:t>
            </w:r>
          </w:p>
          <w:p w14:paraId="7521B81B" w14:textId="77777777" w:rsidR="00E12662" w:rsidRPr="00BC41B4" w:rsidRDefault="00E12662" w:rsidP="00AF3B53">
            <w:pPr>
              <w:pStyle w:val="TableText"/>
              <w:rPr>
                <w:i/>
                <w:sz w:val="20"/>
              </w:rPr>
            </w:pPr>
            <w:r w:rsidRPr="00BC41B4">
              <w:rPr>
                <w:sz w:val="20"/>
              </w:rPr>
              <w:t>Customer-created or purchased applications are deployed onto a provider’s cloud infrastructure</w:t>
            </w:r>
          </w:p>
        </w:tc>
        <w:tc>
          <w:tcPr>
            <w:tcW w:w="3209" w:type="dxa"/>
            <w:tcBorders>
              <w:top w:val="single" w:sz="4" w:space="0" w:color="FFFFFF" w:themeColor="background1"/>
              <w:left w:val="nil"/>
              <w:bottom w:val="single" w:sz="4" w:space="0" w:color="FFFFFF" w:themeColor="background1"/>
              <w:right w:val="nil"/>
            </w:tcBorders>
            <w:shd w:val="clear" w:color="auto" w:fill="DDE0E7"/>
          </w:tcPr>
          <w:p w14:paraId="29A0E79C" w14:textId="77777777" w:rsidR="00E12662" w:rsidRPr="00BC41B4" w:rsidRDefault="00E12662" w:rsidP="00E12662">
            <w:pPr>
              <w:pStyle w:val="TableText"/>
              <w:numPr>
                <w:ilvl w:val="0"/>
                <w:numId w:val="14"/>
              </w:numPr>
              <w:ind w:left="284" w:hanging="284"/>
              <w:rPr>
                <w:sz w:val="20"/>
                <w:lang w:val="en"/>
              </w:rPr>
            </w:pPr>
            <w:r w:rsidRPr="00BC41B4">
              <w:rPr>
                <w:sz w:val="20"/>
                <w:lang w:val="en"/>
              </w:rPr>
              <w:t>No need for capital hardware investment</w:t>
            </w:r>
          </w:p>
          <w:p w14:paraId="1CE212A2" w14:textId="77777777" w:rsidR="00E12662" w:rsidRPr="00BC41B4" w:rsidRDefault="00E12662" w:rsidP="00E12662">
            <w:pPr>
              <w:pStyle w:val="TableText"/>
              <w:numPr>
                <w:ilvl w:val="0"/>
                <w:numId w:val="14"/>
              </w:numPr>
              <w:ind w:left="284" w:hanging="284"/>
              <w:rPr>
                <w:sz w:val="20"/>
                <w:lang w:val="en"/>
              </w:rPr>
            </w:pPr>
            <w:r w:rsidRPr="00BC41B4">
              <w:rPr>
                <w:sz w:val="20"/>
                <w:lang w:val="en"/>
              </w:rPr>
              <w:t>Rapid deployment</w:t>
            </w:r>
          </w:p>
          <w:p w14:paraId="27F184DB" w14:textId="77777777" w:rsidR="00E12662" w:rsidRPr="00BC41B4" w:rsidRDefault="00E12662" w:rsidP="00E12662">
            <w:pPr>
              <w:pStyle w:val="TableText"/>
              <w:numPr>
                <w:ilvl w:val="0"/>
                <w:numId w:val="14"/>
              </w:numPr>
              <w:ind w:left="284" w:hanging="284"/>
              <w:rPr>
                <w:rFonts w:cs="Arial"/>
                <w:sz w:val="20"/>
              </w:rPr>
            </w:pPr>
            <w:r w:rsidRPr="00BC41B4">
              <w:rPr>
                <w:sz w:val="20"/>
                <w:lang w:val="en"/>
              </w:rPr>
              <w:t>Support for integration</w:t>
            </w:r>
          </w:p>
        </w:tc>
        <w:tc>
          <w:tcPr>
            <w:tcW w:w="3209" w:type="dxa"/>
            <w:tcBorders>
              <w:top w:val="single" w:sz="4" w:space="0" w:color="FFFFFF" w:themeColor="background1"/>
              <w:left w:val="nil"/>
              <w:bottom w:val="single" w:sz="4" w:space="0" w:color="FFFFFF" w:themeColor="background1"/>
            </w:tcBorders>
            <w:shd w:val="clear" w:color="auto" w:fill="DDE0E7"/>
          </w:tcPr>
          <w:p w14:paraId="77827B47" w14:textId="77777777" w:rsidR="00E12662" w:rsidRPr="00BC41B4" w:rsidRDefault="00E12662" w:rsidP="00E12662">
            <w:pPr>
              <w:pStyle w:val="TableText"/>
              <w:numPr>
                <w:ilvl w:val="0"/>
                <w:numId w:val="14"/>
              </w:numPr>
              <w:ind w:left="284" w:hanging="284"/>
              <w:rPr>
                <w:sz w:val="20"/>
                <w:lang w:val="en"/>
              </w:rPr>
            </w:pPr>
            <w:r w:rsidRPr="00BC41B4">
              <w:rPr>
                <w:sz w:val="20"/>
                <w:lang w:val="en"/>
              </w:rPr>
              <w:t>More management effort due to responsibility for application updates and upgrades</w:t>
            </w:r>
          </w:p>
          <w:p w14:paraId="63C05C0F" w14:textId="77777777" w:rsidR="00E12662" w:rsidRPr="00BC41B4" w:rsidRDefault="00E12662" w:rsidP="00E12662">
            <w:pPr>
              <w:pStyle w:val="TableText"/>
              <w:numPr>
                <w:ilvl w:val="0"/>
                <w:numId w:val="14"/>
              </w:numPr>
              <w:ind w:left="284" w:hanging="284"/>
              <w:rPr>
                <w:sz w:val="20"/>
                <w:lang w:val="en"/>
              </w:rPr>
            </w:pPr>
            <w:r w:rsidRPr="00BC41B4">
              <w:rPr>
                <w:sz w:val="20"/>
                <w:lang w:val="en"/>
              </w:rPr>
              <w:t>Likely to be a shared platform, requiring security considerations</w:t>
            </w:r>
          </w:p>
          <w:p w14:paraId="6598A2A8" w14:textId="77777777" w:rsidR="00E12662" w:rsidRPr="00BC41B4" w:rsidRDefault="00E12662" w:rsidP="00E12662">
            <w:pPr>
              <w:pStyle w:val="TableText"/>
              <w:numPr>
                <w:ilvl w:val="0"/>
                <w:numId w:val="14"/>
              </w:numPr>
              <w:ind w:left="284" w:hanging="284"/>
              <w:rPr>
                <w:sz w:val="20"/>
                <w:lang w:val="en"/>
              </w:rPr>
            </w:pPr>
            <w:r w:rsidRPr="00BC41B4">
              <w:rPr>
                <w:sz w:val="20"/>
                <w:lang w:val="en"/>
              </w:rPr>
              <w:t>Data privacy issues</w:t>
            </w:r>
          </w:p>
          <w:p w14:paraId="2BA506DC" w14:textId="77777777" w:rsidR="00E12662" w:rsidRPr="00BC41B4" w:rsidRDefault="00E12662" w:rsidP="00E12662">
            <w:pPr>
              <w:pStyle w:val="TableText"/>
              <w:numPr>
                <w:ilvl w:val="0"/>
                <w:numId w:val="14"/>
              </w:numPr>
              <w:ind w:left="284" w:hanging="284"/>
              <w:rPr>
                <w:rFonts w:cs="Arial"/>
                <w:sz w:val="20"/>
              </w:rPr>
            </w:pPr>
            <w:r w:rsidRPr="00BC41B4">
              <w:rPr>
                <w:sz w:val="20"/>
                <w:lang w:val="en"/>
              </w:rPr>
              <w:t>Not as cost effective as SaaS</w:t>
            </w:r>
          </w:p>
        </w:tc>
      </w:tr>
      <w:tr w:rsidR="00E12662" w:rsidRPr="00417C99" w14:paraId="70664BC0" w14:textId="77777777" w:rsidTr="00AF3B53">
        <w:tc>
          <w:tcPr>
            <w:tcW w:w="3214" w:type="dxa"/>
            <w:tcBorders>
              <w:top w:val="single" w:sz="4" w:space="0" w:color="FFFFFF" w:themeColor="background1"/>
              <w:bottom w:val="single" w:sz="12" w:space="0" w:color="004B88" w:themeColor="text2"/>
              <w:right w:val="nil"/>
            </w:tcBorders>
            <w:shd w:val="clear" w:color="auto" w:fill="DDE0E7"/>
          </w:tcPr>
          <w:p w14:paraId="5B227587" w14:textId="77777777" w:rsidR="00E12662" w:rsidRPr="00BC41B4" w:rsidRDefault="00E12662" w:rsidP="00AF3B53">
            <w:pPr>
              <w:pStyle w:val="TableHeading1"/>
              <w:rPr>
                <w:sz w:val="20"/>
                <w:szCs w:val="20"/>
              </w:rPr>
            </w:pPr>
            <w:r w:rsidRPr="00BC41B4">
              <w:rPr>
                <w:sz w:val="20"/>
                <w:szCs w:val="20"/>
              </w:rPr>
              <w:t>Infrastructure as a Service (IaaS)</w:t>
            </w:r>
          </w:p>
          <w:p w14:paraId="5403AEC2" w14:textId="77777777" w:rsidR="00E12662" w:rsidRPr="00BC41B4" w:rsidRDefault="00E12662" w:rsidP="00AF3B53">
            <w:pPr>
              <w:pStyle w:val="TableText"/>
              <w:rPr>
                <w:sz w:val="20"/>
              </w:rPr>
            </w:pPr>
            <w:r w:rsidRPr="00BC41B4">
              <w:rPr>
                <w:sz w:val="20"/>
              </w:rPr>
              <w:t>Computer infrastructure (processing, storage, networks etc) are provided to the customer, to deploy their own software applications</w:t>
            </w:r>
          </w:p>
        </w:tc>
        <w:tc>
          <w:tcPr>
            <w:tcW w:w="3209" w:type="dxa"/>
            <w:tcBorders>
              <w:top w:val="single" w:sz="4" w:space="0" w:color="FFFFFF" w:themeColor="background1"/>
              <w:left w:val="nil"/>
              <w:bottom w:val="single" w:sz="12" w:space="0" w:color="004B88" w:themeColor="text2"/>
              <w:right w:val="nil"/>
            </w:tcBorders>
            <w:shd w:val="clear" w:color="auto" w:fill="DDE0E7"/>
          </w:tcPr>
          <w:p w14:paraId="2C5425D7" w14:textId="77777777" w:rsidR="00E12662" w:rsidRPr="00BC41B4" w:rsidRDefault="00E12662" w:rsidP="00E12662">
            <w:pPr>
              <w:pStyle w:val="TableText"/>
              <w:numPr>
                <w:ilvl w:val="0"/>
                <w:numId w:val="14"/>
              </w:numPr>
              <w:ind w:left="284" w:hanging="284"/>
              <w:rPr>
                <w:sz w:val="20"/>
                <w:lang w:val="en"/>
              </w:rPr>
            </w:pPr>
            <w:r w:rsidRPr="00BC41B4">
              <w:rPr>
                <w:sz w:val="20"/>
                <w:lang w:val="en"/>
              </w:rPr>
              <w:t>Removes the need to buy, house and maintain physical servers</w:t>
            </w:r>
          </w:p>
          <w:p w14:paraId="333C6905" w14:textId="77777777" w:rsidR="00E12662" w:rsidRPr="00BC41B4" w:rsidRDefault="00E12662" w:rsidP="00E12662">
            <w:pPr>
              <w:pStyle w:val="TableText"/>
              <w:numPr>
                <w:ilvl w:val="0"/>
                <w:numId w:val="14"/>
              </w:numPr>
              <w:ind w:left="284" w:hanging="284"/>
              <w:rPr>
                <w:sz w:val="20"/>
                <w:lang w:val="en"/>
              </w:rPr>
            </w:pPr>
            <w:r w:rsidRPr="00BC41B4">
              <w:rPr>
                <w:sz w:val="20"/>
                <w:lang w:val="en"/>
              </w:rPr>
              <w:t>Ability to respond quickly to changing demand</w:t>
            </w:r>
          </w:p>
          <w:p w14:paraId="2F95BC55" w14:textId="77777777" w:rsidR="00E12662" w:rsidRPr="00BC41B4" w:rsidRDefault="00E12662" w:rsidP="00E12662">
            <w:pPr>
              <w:pStyle w:val="TableText"/>
              <w:numPr>
                <w:ilvl w:val="0"/>
                <w:numId w:val="14"/>
              </w:numPr>
              <w:ind w:left="284" w:hanging="284"/>
              <w:rPr>
                <w:sz w:val="20"/>
                <w:lang w:val="en"/>
              </w:rPr>
            </w:pPr>
            <w:r w:rsidRPr="00BC41B4">
              <w:rPr>
                <w:sz w:val="20"/>
                <w:lang w:val="en"/>
              </w:rPr>
              <w:t>Greater level of control over Virtual Machine</w:t>
            </w:r>
          </w:p>
          <w:p w14:paraId="1E66E8B7" w14:textId="77777777" w:rsidR="00E12662" w:rsidRPr="00BC41B4" w:rsidRDefault="00E12662" w:rsidP="00E12662">
            <w:pPr>
              <w:pStyle w:val="TableText"/>
              <w:numPr>
                <w:ilvl w:val="0"/>
                <w:numId w:val="14"/>
              </w:numPr>
              <w:ind w:left="284" w:hanging="284"/>
              <w:rPr>
                <w:sz w:val="20"/>
                <w:lang w:val="en"/>
              </w:rPr>
            </w:pPr>
            <w:r w:rsidRPr="00BC41B4">
              <w:rPr>
                <w:sz w:val="20"/>
                <w:lang w:val="en"/>
              </w:rPr>
              <w:t>Simplifies integration</w:t>
            </w:r>
          </w:p>
        </w:tc>
        <w:tc>
          <w:tcPr>
            <w:tcW w:w="3209" w:type="dxa"/>
            <w:tcBorders>
              <w:top w:val="single" w:sz="4" w:space="0" w:color="FFFFFF" w:themeColor="background1"/>
              <w:left w:val="nil"/>
              <w:bottom w:val="single" w:sz="12" w:space="0" w:color="004B88" w:themeColor="text2"/>
            </w:tcBorders>
            <w:shd w:val="clear" w:color="auto" w:fill="DDE0E7"/>
          </w:tcPr>
          <w:p w14:paraId="6CFA742B" w14:textId="77777777" w:rsidR="00E12662" w:rsidRPr="00BC41B4" w:rsidRDefault="00E12662" w:rsidP="00E12662">
            <w:pPr>
              <w:pStyle w:val="TableText"/>
              <w:numPr>
                <w:ilvl w:val="0"/>
                <w:numId w:val="14"/>
              </w:numPr>
              <w:ind w:left="284" w:hanging="284"/>
              <w:rPr>
                <w:sz w:val="20"/>
                <w:lang w:val="en"/>
              </w:rPr>
            </w:pPr>
            <w:r w:rsidRPr="00BC41B4">
              <w:rPr>
                <w:sz w:val="20"/>
                <w:lang w:val="en"/>
              </w:rPr>
              <w:t>Most expensive</w:t>
            </w:r>
          </w:p>
          <w:p w14:paraId="5F477E98" w14:textId="77777777" w:rsidR="00E12662" w:rsidRPr="00BC41B4" w:rsidRDefault="00E12662" w:rsidP="00E12662">
            <w:pPr>
              <w:pStyle w:val="TableText"/>
              <w:numPr>
                <w:ilvl w:val="0"/>
                <w:numId w:val="14"/>
              </w:numPr>
              <w:ind w:left="284" w:hanging="284"/>
              <w:rPr>
                <w:sz w:val="20"/>
                <w:lang w:val="en"/>
              </w:rPr>
            </w:pPr>
            <w:r w:rsidRPr="00BC41B4">
              <w:rPr>
                <w:sz w:val="20"/>
                <w:lang w:val="en"/>
              </w:rPr>
              <w:t>Responsibility</w:t>
            </w:r>
            <w:r>
              <w:rPr>
                <w:sz w:val="20"/>
                <w:lang w:val="en"/>
              </w:rPr>
              <w:t xml:space="preserve"> for Virtual Machine Management</w:t>
            </w:r>
          </w:p>
          <w:p w14:paraId="54D0797D" w14:textId="77777777" w:rsidR="00E12662" w:rsidRPr="00BC41B4" w:rsidRDefault="00E12662" w:rsidP="00E12662">
            <w:pPr>
              <w:pStyle w:val="TableText"/>
              <w:numPr>
                <w:ilvl w:val="0"/>
                <w:numId w:val="14"/>
              </w:numPr>
              <w:ind w:left="284" w:hanging="284"/>
              <w:rPr>
                <w:sz w:val="20"/>
                <w:lang w:val="en"/>
              </w:rPr>
            </w:pPr>
            <w:r w:rsidRPr="00BC41B4">
              <w:rPr>
                <w:sz w:val="20"/>
                <w:lang w:val="en"/>
              </w:rPr>
              <w:t>Need for new skills sets and regular training program to keep step with technology changes</w:t>
            </w:r>
          </w:p>
          <w:p w14:paraId="5CD19C4E" w14:textId="77777777" w:rsidR="00E12662" w:rsidRPr="00BC41B4" w:rsidRDefault="00E12662" w:rsidP="00E12662">
            <w:pPr>
              <w:pStyle w:val="TableText"/>
              <w:numPr>
                <w:ilvl w:val="0"/>
                <w:numId w:val="14"/>
              </w:numPr>
              <w:ind w:left="284" w:hanging="284"/>
              <w:rPr>
                <w:sz w:val="20"/>
                <w:lang w:val="en"/>
              </w:rPr>
            </w:pPr>
            <w:r w:rsidRPr="00BC41B4">
              <w:rPr>
                <w:sz w:val="20"/>
                <w:lang w:val="en"/>
              </w:rPr>
              <w:t>Responsibility for backups</w:t>
            </w:r>
          </w:p>
        </w:tc>
      </w:tr>
    </w:tbl>
    <w:p w14:paraId="1F7508C7" w14:textId="77777777" w:rsidR="00E12662" w:rsidRDefault="00E12662" w:rsidP="00E12662">
      <w:pPr>
        <w:pStyle w:val="-Normal-"/>
      </w:pPr>
    </w:p>
    <w:p w14:paraId="67DE6FDD" w14:textId="77777777" w:rsidR="00E12662" w:rsidRDefault="00E12662" w:rsidP="00E12662">
      <w:pPr>
        <w:spacing w:after="0" w:line="240" w:lineRule="auto"/>
        <w:rPr>
          <w:rFonts w:eastAsia="Times New Roman" w:cs="Times New Roman"/>
          <w:color w:val="000000" w:themeColor="text1"/>
          <w:szCs w:val="20"/>
          <w:lang w:val="en-US" w:eastAsia="en-AU"/>
        </w:rPr>
      </w:pPr>
      <w:r>
        <w:br w:type="page"/>
      </w:r>
    </w:p>
    <w:p w14:paraId="5B766C9E" w14:textId="77777777" w:rsidR="00E12662" w:rsidRPr="00E67A92" w:rsidRDefault="00E12662" w:rsidP="00E12662">
      <w:pPr>
        <w:pStyle w:val="-Normal-"/>
      </w:pPr>
      <w:r w:rsidRPr="00E67A92">
        <w:lastRenderedPageBreak/>
        <w:t xml:space="preserve">There are </w:t>
      </w:r>
      <w:r w:rsidRPr="00EC159C">
        <w:rPr>
          <w:szCs w:val="18"/>
        </w:rPr>
        <w:t>four</w:t>
      </w:r>
      <w:r w:rsidRPr="00E67A92">
        <w:t xml:space="preserve"> common deployment models:</w:t>
      </w:r>
    </w:p>
    <w:tbl>
      <w:tblPr>
        <w:tblStyle w:val="DPCTable1"/>
        <w:tblpPr w:leftFromText="180" w:rightFromText="180" w:vertAnchor="text" w:horzAnchor="margin" w:tblpY="-35"/>
        <w:tblW w:w="9632" w:type="dxa"/>
        <w:tblLook w:val="04A0" w:firstRow="1" w:lastRow="0" w:firstColumn="1" w:lastColumn="0" w:noHBand="0" w:noVBand="1"/>
      </w:tblPr>
      <w:tblGrid>
        <w:gridCol w:w="3214"/>
        <w:gridCol w:w="3209"/>
        <w:gridCol w:w="3209"/>
      </w:tblGrid>
      <w:tr w:rsidR="00E12662" w:rsidRPr="00F26C2C" w14:paraId="6AF991C3" w14:textId="77777777" w:rsidTr="00AF3B53">
        <w:trPr>
          <w:cnfStyle w:val="100000000000" w:firstRow="1" w:lastRow="0" w:firstColumn="0" w:lastColumn="0" w:oddVBand="0" w:evenVBand="0" w:oddHBand="0" w:evenHBand="0" w:firstRowFirstColumn="0" w:firstRowLastColumn="0" w:lastRowFirstColumn="0" w:lastRowLastColumn="0"/>
        </w:trPr>
        <w:tc>
          <w:tcPr>
            <w:tcW w:w="3214" w:type="dxa"/>
            <w:tcBorders>
              <w:top w:val="single" w:sz="12" w:space="0" w:color="FFFFFF" w:themeColor="background2"/>
              <w:bottom w:val="single" w:sz="12" w:space="0" w:color="004B88" w:themeColor="text2"/>
            </w:tcBorders>
            <w:shd w:val="clear" w:color="auto" w:fill="004B88" w:themeFill="text2"/>
          </w:tcPr>
          <w:p w14:paraId="6931C27C" w14:textId="77777777" w:rsidR="00E12662" w:rsidRPr="00F26C2C" w:rsidRDefault="00E12662" w:rsidP="00AF3B53">
            <w:pPr>
              <w:pStyle w:val="TableHeading1"/>
              <w:rPr>
                <w:rFonts w:ascii="Arial" w:hAnsi="Arial" w:cs="Arial"/>
                <w:b/>
              </w:rPr>
            </w:pPr>
            <w:r>
              <w:rPr>
                <w:rFonts w:ascii="Arial" w:hAnsi="Arial" w:cs="Arial"/>
                <w:b/>
              </w:rPr>
              <w:t>Model</w:t>
            </w:r>
          </w:p>
        </w:tc>
        <w:tc>
          <w:tcPr>
            <w:tcW w:w="3209" w:type="dxa"/>
            <w:tcBorders>
              <w:top w:val="single" w:sz="12" w:space="0" w:color="FFFFFF" w:themeColor="background2"/>
              <w:bottom w:val="single" w:sz="12" w:space="0" w:color="004B88" w:themeColor="text2"/>
            </w:tcBorders>
            <w:shd w:val="clear" w:color="auto" w:fill="004B88" w:themeFill="text2"/>
          </w:tcPr>
          <w:p w14:paraId="34FF0E20" w14:textId="77777777" w:rsidR="00E12662" w:rsidRPr="00F26C2C" w:rsidRDefault="00E12662" w:rsidP="00AF3B53">
            <w:pPr>
              <w:pStyle w:val="TableHeading1"/>
              <w:rPr>
                <w:rFonts w:ascii="Arial" w:hAnsi="Arial" w:cs="Arial"/>
                <w:b/>
              </w:rPr>
            </w:pPr>
            <w:r>
              <w:rPr>
                <w:rFonts w:ascii="Arial" w:hAnsi="Arial" w:cs="Arial"/>
                <w:b/>
              </w:rPr>
              <w:t>Potential Advantages</w:t>
            </w:r>
          </w:p>
        </w:tc>
        <w:tc>
          <w:tcPr>
            <w:tcW w:w="3209" w:type="dxa"/>
            <w:tcBorders>
              <w:top w:val="single" w:sz="12" w:space="0" w:color="FFFFFF" w:themeColor="background2"/>
              <w:bottom w:val="single" w:sz="12" w:space="0" w:color="004B88" w:themeColor="text2"/>
            </w:tcBorders>
            <w:shd w:val="clear" w:color="auto" w:fill="004B88" w:themeFill="text2"/>
          </w:tcPr>
          <w:p w14:paraId="37CDBDDD" w14:textId="77777777" w:rsidR="00E12662" w:rsidRPr="00F26C2C" w:rsidRDefault="00E12662" w:rsidP="00AF3B53">
            <w:pPr>
              <w:pStyle w:val="TableHeading1"/>
              <w:rPr>
                <w:rFonts w:ascii="Arial" w:hAnsi="Arial" w:cs="Arial"/>
                <w:b/>
              </w:rPr>
            </w:pPr>
            <w:r>
              <w:rPr>
                <w:rFonts w:ascii="Arial" w:hAnsi="Arial" w:cs="Arial"/>
                <w:b/>
              </w:rPr>
              <w:t>Potential Disadvantages</w:t>
            </w:r>
          </w:p>
        </w:tc>
      </w:tr>
      <w:tr w:rsidR="00E12662" w:rsidRPr="00417C99" w14:paraId="31CCD526" w14:textId="77777777" w:rsidTr="00AF3B53">
        <w:tc>
          <w:tcPr>
            <w:tcW w:w="3214" w:type="dxa"/>
            <w:tcBorders>
              <w:top w:val="single" w:sz="12" w:space="0" w:color="004B88" w:themeColor="text2"/>
              <w:bottom w:val="single" w:sz="2" w:space="0" w:color="FFFFFF" w:themeColor="background1"/>
            </w:tcBorders>
            <w:shd w:val="clear" w:color="auto" w:fill="DDE0E7"/>
          </w:tcPr>
          <w:p w14:paraId="0359D4D0" w14:textId="77777777" w:rsidR="00E12662" w:rsidRPr="00BC41B4" w:rsidRDefault="00E12662" w:rsidP="00AF3B53">
            <w:pPr>
              <w:pStyle w:val="TableHeading1"/>
              <w:rPr>
                <w:sz w:val="20"/>
              </w:rPr>
            </w:pPr>
            <w:r w:rsidRPr="00BC41B4">
              <w:rPr>
                <w:sz w:val="20"/>
              </w:rPr>
              <w:t>Private cloud</w:t>
            </w:r>
          </w:p>
          <w:p w14:paraId="2845E37D" w14:textId="77777777" w:rsidR="00E12662" w:rsidRPr="00BC41B4" w:rsidRDefault="00E12662" w:rsidP="00AF3B53">
            <w:pPr>
              <w:pStyle w:val="TableText"/>
              <w:rPr>
                <w:rFonts w:cs="Arial"/>
                <w:sz w:val="20"/>
              </w:rPr>
            </w:pPr>
            <w:r w:rsidRPr="00BC41B4">
              <w:rPr>
                <w:sz w:val="20"/>
              </w:rPr>
              <w:t>Cloud infrastructure is provisioned for exclusive use by a single organisation comprising many consumers</w:t>
            </w:r>
          </w:p>
        </w:tc>
        <w:tc>
          <w:tcPr>
            <w:tcW w:w="3209" w:type="dxa"/>
            <w:tcBorders>
              <w:top w:val="single" w:sz="12" w:space="0" w:color="004B88" w:themeColor="text2"/>
              <w:bottom w:val="single" w:sz="2" w:space="0" w:color="FFFFFF" w:themeColor="background1"/>
            </w:tcBorders>
            <w:shd w:val="clear" w:color="auto" w:fill="DDE0E7"/>
          </w:tcPr>
          <w:p w14:paraId="1C350788" w14:textId="77777777" w:rsidR="00E12662" w:rsidRPr="00BC41B4" w:rsidRDefault="00E12662" w:rsidP="00E12662">
            <w:pPr>
              <w:pStyle w:val="TableText"/>
              <w:numPr>
                <w:ilvl w:val="0"/>
                <w:numId w:val="15"/>
              </w:numPr>
              <w:ind w:left="284" w:hanging="284"/>
              <w:rPr>
                <w:sz w:val="20"/>
              </w:rPr>
            </w:pPr>
            <w:r w:rsidRPr="00BC41B4">
              <w:rPr>
                <w:sz w:val="20"/>
              </w:rPr>
              <w:t>More control</w:t>
            </w:r>
          </w:p>
          <w:p w14:paraId="396EAD12" w14:textId="77777777" w:rsidR="00E12662" w:rsidRPr="00BC41B4" w:rsidRDefault="00E12662" w:rsidP="00E12662">
            <w:pPr>
              <w:pStyle w:val="TableText"/>
              <w:numPr>
                <w:ilvl w:val="0"/>
                <w:numId w:val="15"/>
              </w:numPr>
              <w:ind w:left="284" w:hanging="284"/>
              <w:rPr>
                <w:sz w:val="20"/>
              </w:rPr>
            </w:pPr>
            <w:r w:rsidRPr="00BC41B4">
              <w:rPr>
                <w:sz w:val="20"/>
              </w:rPr>
              <w:t>Good data security and compliance</w:t>
            </w:r>
          </w:p>
        </w:tc>
        <w:tc>
          <w:tcPr>
            <w:tcW w:w="3209" w:type="dxa"/>
            <w:tcBorders>
              <w:top w:val="single" w:sz="12" w:space="0" w:color="004B88" w:themeColor="text2"/>
              <w:bottom w:val="single" w:sz="2" w:space="0" w:color="FFFFFF" w:themeColor="background1"/>
            </w:tcBorders>
            <w:shd w:val="clear" w:color="auto" w:fill="DDE0E7"/>
          </w:tcPr>
          <w:p w14:paraId="65F25C03" w14:textId="77777777" w:rsidR="00E12662" w:rsidRPr="00BC41B4" w:rsidRDefault="00E12662" w:rsidP="00E12662">
            <w:pPr>
              <w:pStyle w:val="TableText"/>
              <w:numPr>
                <w:ilvl w:val="0"/>
                <w:numId w:val="15"/>
              </w:numPr>
              <w:ind w:left="284" w:hanging="284"/>
              <w:rPr>
                <w:sz w:val="20"/>
              </w:rPr>
            </w:pPr>
            <w:r w:rsidRPr="00BC41B4">
              <w:rPr>
                <w:sz w:val="20"/>
              </w:rPr>
              <w:t>Typically more expensive</w:t>
            </w:r>
          </w:p>
          <w:p w14:paraId="1DC0BC14" w14:textId="77777777" w:rsidR="00E12662" w:rsidRPr="00BC41B4" w:rsidRDefault="00E12662" w:rsidP="00E12662">
            <w:pPr>
              <w:pStyle w:val="TableText"/>
              <w:numPr>
                <w:ilvl w:val="0"/>
                <w:numId w:val="15"/>
              </w:numPr>
              <w:ind w:left="284" w:hanging="284"/>
              <w:rPr>
                <w:sz w:val="20"/>
              </w:rPr>
            </w:pPr>
            <w:r w:rsidRPr="00BC41B4">
              <w:rPr>
                <w:sz w:val="20"/>
              </w:rPr>
              <w:t>Lower economies of scale</w:t>
            </w:r>
          </w:p>
          <w:p w14:paraId="05FC0EB4" w14:textId="77777777" w:rsidR="00E12662" w:rsidRPr="00BC41B4" w:rsidRDefault="00E12662" w:rsidP="00E12662">
            <w:pPr>
              <w:pStyle w:val="TableText"/>
              <w:numPr>
                <w:ilvl w:val="0"/>
                <w:numId w:val="15"/>
              </w:numPr>
              <w:ind w:left="284" w:hanging="284"/>
              <w:rPr>
                <w:sz w:val="20"/>
              </w:rPr>
            </w:pPr>
            <w:r w:rsidRPr="00BC41B4">
              <w:rPr>
                <w:sz w:val="20"/>
              </w:rPr>
              <w:t>Lower resilience</w:t>
            </w:r>
          </w:p>
        </w:tc>
      </w:tr>
      <w:tr w:rsidR="00E12662" w:rsidRPr="00417C99" w14:paraId="1615E6BF" w14:textId="77777777" w:rsidTr="00AF3B53">
        <w:tc>
          <w:tcPr>
            <w:tcW w:w="3214" w:type="dxa"/>
            <w:tcBorders>
              <w:top w:val="single" w:sz="2" w:space="0" w:color="FFFFFF" w:themeColor="background1"/>
              <w:bottom w:val="single" w:sz="2" w:space="0" w:color="FFFFFF" w:themeColor="background1"/>
            </w:tcBorders>
            <w:shd w:val="clear" w:color="auto" w:fill="DDE0E7"/>
          </w:tcPr>
          <w:p w14:paraId="1A19F0C4" w14:textId="77777777" w:rsidR="00E12662" w:rsidRPr="00BC41B4" w:rsidRDefault="00E12662" w:rsidP="00AF3B53">
            <w:pPr>
              <w:pStyle w:val="TableHeading1"/>
              <w:rPr>
                <w:sz w:val="20"/>
              </w:rPr>
            </w:pPr>
            <w:r w:rsidRPr="00BC41B4">
              <w:rPr>
                <w:sz w:val="20"/>
              </w:rPr>
              <w:t>Community cloud</w:t>
            </w:r>
          </w:p>
          <w:p w14:paraId="7036607F" w14:textId="77777777" w:rsidR="00E12662" w:rsidRPr="00BC41B4" w:rsidRDefault="00E12662" w:rsidP="00AF3B53">
            <w:pPr>
              <w:pStyle w:val="TableText"/>
              <w:rPr>
                <w:i/>
                <w:sz w:val="20"/>
              </w:rPr>
            </w:pPr>
            <w:r w:rsidRPr="00BC41B4">
              <w:rPr>
                <w:sz w:val="20"/>
              </w:rPr>
              <w:t>Cloud infrastructure is provisioned for exclusive use by a community of consumers</w:t>
            </w:r>
          </w:p>
        </w:tc>
        <w:tc>
          <w:tcPr>
            <w:tcW w:w="3209" w:type="dxa"/>
            <w:tcBorders>
              <w:top w:val="single" w:sz="2" w:space="0" w:color="FFFFFF" w:themeColor="background1"/>
              <w:bottom w:val="single" w:sz="2" w:space="0" w:color="FFFFFF" w:themeColor="background1"/>
            </w:tcBorders>
            <w:shd w:val="clear" w:color="auto" w:fill="DDE0E7"/>
          </w:tcPr>
          <w:p w14:paraId="7120EB69" w14:textId="77777777" w:rsidR="00E12662" w:rsidRPr="00BC41B4" w:rsidRDefault="00E12662" w:rsidP="00E12662">
            <w:pPr>
              <w:pStyle w:val="TableText"/>
              <w:numPr>
                <w:ilvl w:val="0"/>
                <w:numId w:val="15"/>
              </w:numPr>
              <w:ind w:left="284" w:hanging="284"/>
              <w:rPr>
                <w:sz w:val="20"/>
              </w:rPr>
            </w:pPr>
            <w:r w:rsidRPr="00BC41B4">
              <w:rPr>
                <w:sz w:val="20"/>
              </w:rPr>
              <w:t>Economies of scale</w:t>
            </w:r>
          </w:p>
          <w:p w14:paraId="16F3FDFA" w14:textId="77777777" w:rsidR="00E12662" w:rsidRPr="00BC41B4" w:rsidRDefault="00E12662" w:rsidP="00E12662">
            <w:pPr>
              <w:pStyle w:val="TableText"/>
              <w:numPr>
                <w:ilvl w:val="0"/>
                <w:numId w:val="15"/>
              </w:numPr>
              <w:ind w:left="284" w:hanging="284"/>
              <w:rPr>
                <w:sz w:val="20"/>
              </w:rPr>
            </w:pPr>
            <w:r w:rsidRPr="00BC41B4">
              <w:rPr>
                <w:sz w:val="20"/>
              </w:rPr>
              <w:t>Fair data security and compliance</w:t>
            </w:r>
          </w:p>
        </w:tc>
        <w:tc>
          <w:tcPr>
            <w:tcW w:w="3209" w:type="dxa"/>
            <w:tcBorders>
              <w:top w:val="single" w:sz="2" w:space="0" w:color="FFFFFF" w:themeColor="background1"/>
              <w:bottom w:val="single" w:sz="2" w:space="0" w:color="FFFFFF" w:themeColor="background1"/>
            </w:tcBorders>
            <w:shd w:val="clear" w:color="auto" w:fill="DDE0E7"/>
          </w:tcPr>
          <w:p w14:paraId="296329C7" w14:textId="77777777" w:rsidR="00E12662" w:rsidRPr="00BC41B4" w:rsidRDefault="00E12662" w:rsidP="00E12662">
            <w:pPr>
              <w:pStyle w:val="TableText"/>
              <w:numPr>
                <w:ilvl w:val="0"/>
                <w:numId w:val="15"/>
              </w:numPr>
              <w:ind w:left="284" w:hanging="284"/>
              <w:rPr>
                <w:sz w:val="20"/>
              </w:rPr>
            </w:pPr>
            <w:r w:rsidRPr="00BC41B4">
              <w:rPr>
                <w:sz w:val="20"/>
              </w:rPr>
              <w:t>May require changes to existing processes/practices</w:t>
            </w:r>
          </w:p>
          <w:p w14:paraId="5C46757B" w14:textId="77777777" w:rsidR="00E12662" w:rsidRPr="00BC41B4" w:rsidRDefault="00E12662" w:rsidP="00E12662">
            <w:pPr>
              <w:pStyle w:val="TableText"/>
              <w:numPr>
                <w:ilvl w:val="0"/>
                <w:numId w:val="15"/>
              </w:numPr>
              <w:ind w:left="284" w:hanging="284"/>
              <w:rPr>
                <w:sz w:val="20"/>
              </w:rPr>
            </w:pPr>
            <w:r>
              <w:rPr>
                <w:sz w:val="20"/>
              </w:rPr>
              <w:t>Shared ‘sovereignty’</w:t>
            </w:r>
          </w:p>
        </w:tc>
      </w:tr>
      <w:tr w:rsidR="00E12662" w:rsidRPr="00417C99" w14:paraId="2A84CC98" w14:textId="77777777" w:rsidTr="00AF3B53">
        <w:tc>
          <w:tcPr>
            <w:tcW w:w="3214" w:type="dxa"/>
            <w:tcBorders>
              <w:top w:val="single" w:sz="2" w:space="0" w:color="FFFFFF" w:themeColor="background1"/>
              <w:bottom w:val="single" w:sz="2" w:space="0" w:color="FFFFFF" w:themeColor="background1"/>
            </w:tcBorders>
            <w:shd w:val="clear" w:color="auto" w:fill="DDE0E7"/>
          </w:tcPr>
          <w:p w14:paraId="6141F8EA" w14:textId="77777777" w:rsidR="00E12662" w:rsidRPr="00BC41B4" w:rsidRDefault="00E12662" w:rsidP="00AF3B53">
            <w:pPr>
              <w:pStyle w:val="TableHeading1"/>
              <w:rPr>
                <w:sz w:val="20"/>
              </w:rPr>
            </w:pPr>
            <w:r w:rsidRPr="00BC41B4">
              <w:rPr>
                <w:sz w:val="20"/>
              </w:rPr>
              <w:t>Public cloud</w:t>
            </w:r>
          </w:p>
          <w:p w14:paraId="3AF70672" w14:textId="77777777" w:rsidR="00E12662" w:rsidRPr="00BC41B4" w:rsidRDefault="00E12662" w:rsidP="00AF3B53">
            <w:pPr>
              <w:pStyle w:val="TableText"/>
              <w:rPr>
                <w:sz w:val="20"/>
              </w:rPr>
            </w:pPr>
            <w:r w:rsidRPr="00BC41B4">
              <w:rPr>
                <w:sz w:val="20"/>
              </w:rPr>
              <w:t>Cloud infrastructure is provisioned for open use by the general public</w:t>
            </w:r>
          </w:p>
        </w:tc>
        <w:tc>
          <w:tcPr>
            <w:tcW w:w="3209" w:type="dxa"/>
            <w:tcBorders>
              <w:top w:val="single" w:sz="2" w:space="0" w:color="FFFFFF" w:themeColor="background1"/>
              <w:bottom w:val="single" w:sz="2" w:space="0" w:color="FFFFFF" w:themeColor="background1"/>
            </w:tcBorders>
            <w:shd w:val="clear" w:color="auto" w:fill="DDE0E7"/>
          </w:tcPr>
          <w:p w14:paraId="31BF0A4C" w14:textId="77777777" w:rsidR="00E12662" w:rsidRPr="00BC41B4" w:rsidRDefault="00E12662" w:rsidP="00E12662">
            <w:pPr>
              <w:pStyle w:val="TableText"/>
              <w:numPr>
                <w:ilvl w:val="0"/>
                <w:numId w:val="15"/>
              </w:numPr>
              <w:ind w:left="284" w:hanging="284"/>
              <w:rPr>
                <w:sz w:val="20"/>
                <w:lang w:val="en"/>
              </w:rPr>
            </w:pPr>
            <w:r w:rsidRPr="00BC41B4">
              <w:rPr>
                <w:sz w:val="20"/>
                <w:lang w:val="en"/>
              </w:rPr>
              <w:t>Ease of access, service on demand</w:t>
            </w:r>
          </w:p>
          <w:p w14:paraId="08FAD902" w14:textId="77777777" w:rsidR="00E12662" w:rsidRPr="00BC41B4" w:rsidRDefault="00E12662" w:rsidP="00E12662">
            <w:pPr>
              <w:pStyle w:val="TableText"/>
              <w:numPr>
                <w:ilvl w:val="0"/>
                <w:numId w:val="15"/>
              </w:numPr>
              <w:ind w:left="284" w:hanging="284"/>
              <w:rPr>
                <w:sz w:val="20"/>
                <w:lang w:val="en"/>
              </w:rPr>
            </w:pPr>
            <w:r w:rsidRPr="00BC41B4">
              <w:rPr>
                <w:sz w:val="20"/>
                <w:lang w:val="en"/>
              </w:rPr>
              <w:t>Economies of scale</w:t>
            </w:r>
          </w:p>
          <w:p w14:paraId="1A63DB93" w14:textId="77777777" w:rsidR="00E12662" w:rsidRPr="00BC41B4" w:rsidRDefault="00E12662" w:rsidP="00E12662">
            <w:pPr>
              <w:pStyle w:val="TableText"/>
              <w:numPr>
                <w:ilvl w:val="0"/>
                <w:numId w:val="15"/>
              </w:numPr>
              <w:ind w:left="284" w:hanging="284"/>
              <w:rPr>
                <w:sz w:val="20"/>
                <w:lang w:val="en"/>
              </w:rPr>
            </w:pPr>
            <w:r w:rsidRPr="00BC41B4">
              <w:rPr>
                <w:sz w:val="20"/>
                <w:lang w:val="en"/>
              </w:rPr>
              <w:t>Scalability/agility</w:t>
            </w:r>
          </w:p>
          <w:p w14:paraId="03EB5293" w14:textId="77777777" w:rsidR="00E12662" w:rsidRPr="00BC41B4" w:rsidRDefault="00E12662" w:rsidP="00E12662">
            <w:pPr>
              <w:pStyle w:val="TableText"/>
              <w:numPr>
                <w:ilvl w:val="0"/>
                <w:numId w:val="15"/>
              </w:numPr>
              <w:ind w:left="284" w:hanging="284"/>
              <w:rPr>
                <w:sz w:val="20"/>
                <w:lang w:val="en"/>
              </w:rPr>
            </w:pPr>
            <w:r w:rsidRPr="00BC41B4">
              <w:rPr>
                <w:sz w:val="20"/>
                <w:lang w:val="en"/>
              </w:rPr>
              <w:t>Higher resilience</w:t>
            </w:r>
          </w:p>
        </w:tc>
        <w:tc>
          <w:tcPr>
            <w:tcW w:w="3209" w:type="dxa"/>
            <w:tcBorders>
              <w:top w:val="single" w:sz="2" w:space="0" w:color="FFFFFF" w:themeColor="background1"/>
              <w:bottom w:val="single" w:sz="2" w:space="0" w:color="FFFFFF" w:themeColor="background1"/>
            </w:tcBorders>
            <w:shd w:val="clear" w:color="auto" w:fill="DDE0E7"/>
          </w:tcPr>
          <w:p w14:paraId="75CB7F68" w14:textId="77777777" w:rsidR="00E12662" w:rsidRPr="00BC41B4" w:rsidRDefault="00E12662" w:rsidP="00E12662">
            <w:pPr>
              <w:pStyle w:val="TableText"/>
              <w:numPr>
                <w:ilvl w:val="0"/>
                <w:numId w:val="15"/>
              </w:numPr>
              <w:ind w:left="284" w:hanging="284"/>
              <w:rPr>
                <w:sz w:val="20"/>
                <w:lang w:val="en"/>
              </w:rPr>
            </w:pPr>
            <w:r w:rsidRPr="00BC41B4">
              <w:rPr>
                <w:sz w:val="20"/>
                <w:lang w:val="en"/>
              </w:rPr>
              <w:t>Compliance and data security risks</w:t>
            </w:r>
          </w:p>
          <w:p w14:paraId="1AE3A6DA" w14:textId="77777777" w:rsidR="00E12662" w:rsidRPr="00BC41B4" w:rsidRDefault="00E12662" w:rsidP="00E12662">
            <w:pPr>
              <w:pStyle w:val="TableText"/>
              <w:numPr>
                <w:ilvl w:val="0"/>
                <w:numId w:val="15"/>
              </w:numPr>
              <w:ind w:left="284" w:hanging="284"/>
              <w:rPr>
                <w:sz w:val="20"/>
                <w:lang w:val="en"/>
              </w:rPr>
            </w:pPr>
            <w:r w:rsidRPr="00BC41B4">
              <w:rPr>
                <w:sz w:val="20"/>
                <w:lang w:val="en"/>
              </w:rPr>
              <w:t>Can be less reliable</w:t>
            </w:r>
          </w:p>
        </w:tc>
      </w:tr>
      <w:tr w:rsidR="00E12662" w:rsidRPr="00417C99" w14:paraId="2C117662" w14:textId="77777777" w:rsidTr="00AF3B53">
        <w:tc>
          <w:tcPr>
            <w:tcW w:w="3214" w:type="dxa"/>
            <w:tcBorders>
              <w:top w:val="single" w:sz="2" w:space="0" w:color="FFFFFF" w:themeColor="background1"/>
              <w:bottom w:val="single" w:sz="12" w:space="0" w:color="004B88" w:themeColor="text2"/>
            </w:tcBorders>
            <w:shd w:val="clear" w:color="auto" w:fill="DDE0E7"/>
          </w:tcPr>
          <w:p w14:paraId="43A99D10" w14:textId="77777777" w:rsidR="00E12662" w:rsidRPr="00BC41B4" w:rsidRDefault="00E12662" w:rsidP="00AF3B53">
            <w:pPr>
              <w:pStyle w:val="TableHeading1"/>
              <w:rPr>
                <w:sz w:val="20"/>
              </w:rPr>
            </w:pPr>
            <w:r w:rsidRPr="00BC41B4">
              <w:rPr>
                <w:sz w:val="20"/>
              </w:rPr>
              <w:t>Hybrid cloud</w:t>
            </w:r>
          </w:p>
          <w:p w14:paraId="5CFB5157" w14:textId="77777777" w:rsidR="00E12662" w:rsidRPr="00BC41B4" w:rsidRDefault="00E12662" w:rsidP="00AF3B53">
            <w:pPr>
              <w:pStyle w:val="TableText"/>
              <w:rPr>
                <w:i/>
                <w:sz w:val="20"/>
              </w:rPr>
            </w:pPr>
            <w:r w:rsidRPr="00BC41B4">
              <w:rPr>
                <w:sz w:val="20"/>
              </w:rPr>
              <w:t>Cloud infrastructure is a composition of two or more distinct cloud infrastructures</w:t>
            </w:r>
          </w:p>
        </w:tc>
        <w:tc>
          <w:tcPr>
            <w:tcW w:w="3209" w:type="dxa"/>
            <w:tcBorders>
              <w:top w:val="single" w:sz="2" w:space="0" w:color="FFFFFF" w:themeColor="background1"/>
              <w:bottom w:val="single" w:sz="12" w:space="0" w:color="004B88" w:themeColor="text2"/>
            </w:tcBorders>
            <w:shd w:val="clear" w:color="auto" w:fill="DDE0E7"/>
          </w:tcPr>
          <w:p w14:paraId="306C7157" w14:textId="77777777" w:rsidR="00E12662" w:rsidRPr="00BC41B4" w:rsidRDefault="00E12662" w:rsidP="00E12662">
            <w:pPr>
              <w:pStyle w:val="TableText"/>
              <w:numPr>
                <w:ilvl w:val="0"/>
                <w:numId w:val="15"/>
              </w:numPr>
              <w:ind w:left="284" w:hanging="284"/>
              <w:rPr>
                <w:sz w:val="20"/>
                <w:lang w:val="en"/>
              </w:rPr>
            </w:pPr>
            <w:r w:rsidRPr="00BC41B4">
              <w:rPr>
                <w:sz w:val="20"/>
                <w:lang w:val="en"/>
              </w:rPr>
              <w:t>Combination of above</w:t>
            </w:r>
          </w:p>
        </w:tc>
        <w:tc>
          <w:tcPr>
            <w:tcW w:w="3209" w:type="dxa"/>
            <w:tcBorders>
              <w:top w:val="single" w:sz="2" w:space="0" w:color="FFFFFF" w:themeColor="background1"/>
              <w:bottom w:val="single" w:sz="12" w:space="0" w:color="004B88" w:themeColor="text2"/>
            </w:tcBorders>
            <w:shd w:val="clear" w:color="auto" w:fill="DDE0E7"/>
          </w:tcPr>
          <w:p w14:paraId="4B44DE50" w14:textId="77777777" w:rsidR="00E12662" w:rsidRPr="00BC41B4" w:rsidRDefault="00E12662" w:rsidP="00E12662">
            <w:pPr>
              <w:pStyle w:val="TableText"/>
              <w:numPr>
                <w:ilvl w:val="0"/>
                <w:numId w:val="15"/>
              </w:numPr>
              <w:ind w:left="284" w:hanging="284"/>
              <w:rPr>
                <w:sz w:val="20"/>
                <w:lang w:val="en"/>
              </w:rPr>
            </w:pPr>
            <w:r w:rsidRPr="00BC41B4">
              <w:rPr>
                <w:sz w:val="20"/>
                <w:lang w:val="en"/>
              </w:rPr>
              <w:t>Combination of above</w:t>
            </w:r>
          </w:p>
        </w:tc>
      </w:tr>
    </w:tbl>
    <w:p w14:paraId="34F766D8" w14:textId="77777777" w:rsidR="00E12662" w:rsidRPr="00671BB9" w:rsidRDefault="00E12662" w:rsidP="00E12662">
      <w:pPr>
        <w:pStyle w:val="-Normal-"/>
      </w:pPr>
      <w:r w:rsidRPr="00671BB9">
        <w:t>When choosing a model:</w:t>
      </w:r>
    </w:p>
    <w:p w14:paraId="12312CC3" w14:textId="2ED7073D" w:rsidR="00E12662" w:rsidRPr="00710B59" w:rsidRDefault="00E12662" w:rsidP="00710B59">
      <w:pPr>
        <w:pStyle w:val="ListParagraph"/>
        <w:rPr>
          <w:u w:val="none"/>
        </w:rPr>
      </w:pPr>
      <w:r w:rsidRPr="00710B59">
        <w:rPr>
          <w:u w:val="none"/>
        </w:rPr>
        <w:t>identify the business and performance requirements using a user centred design approach such as th</w:t>
      </w:r>
      <w:r w:rsidRPr="00B21C3A">
        <w:rPr>
          <w:u w:val="none"/>
        </w:rPr>
        <w:t xml:space="preserve">e </w:t>
      </w:r>
      <w:hyperlink r:id="rId7" w:history="1">
        <w:r w:rsidR="00CF0A46" w:rsidRPr="00B21C3A">
          <w:rPr>
            <w:rStyle w:val="Hyperlink"/>
            <w:u w:val="single"/>
          </w:rPr>
          <w:t>User Centred Design Toolkit</w:t>
        </w:r>
      </w:hyperlink>
    </w:p>
    <w:p w14:paraId="038EE27A" w14:textId="77777777" w:rsidR="00E12662" w:rsidRPr="00710B59" w:rsidRDefault="00E12662" w:rsidP="00710B59">
      <w:pPr>
        <w:pStyle w:val="ListParagraph"/>
        <w:rPr>
          <w:u w:val="none"/>
        </w:rPr>
      </w:pPr>
      <w:r w:rsidRPr="00710B59">
        <w:rPr>
          <w:u w:val="none"/>
        </w:rPr>
        <w:t>understand the sensitivity of your data and classify it appropriately</w:t>
      </w:r>
    </w:p>
    <w:p w14:paraId="1B930730" w14:textId="77777777" w:rsidR="00E12662" w:rsidRPr="00710B59" w:rsidRDefault="00E12662" w:rsidP="00710B59">
      <w:pPr>
        <w:pStyle w:val="ListParagraph"/>
        <w:rPr>
          <w:u w:val="none"/>
        </w:rPr>
      </w:pPr>
      <w:r w:rsidRPr="00710B59">
        <w:rPr>
          <w:u w:val="none"/>
        </w:rPr>
        <w:t>understand your agency's risk tolerance and develop scenarios to understand the benefits and risks of potential cloud models, especially to determine the requirements for security, privacy and controls</w:t>
      </w:r>
    </w:p>
    <w:p w14:paraId="72877DFF" w14:textId="77777777" w:rsidR="00E12662" w:rsidRPr="00710B59" w:rsidRDefault="00E12662" w:rsidP="00710B59">
      <w:pPr>
        <w:pStyle w:val="ListParagraph"/>
        <w:rPr>
          <w:u w:val="none"/>
        </w:rPr>
      </w:pPr>
      <w:r w:rsidRPr="00710B59">
        <w:rPr>
          <w:u w:val="none"/>
        </w:rPr>
        <w:t>consider your agency ICT strategy and its priorities</w:t>
      </w:r>
    </w:p>
    <w:p w14:paraId="52F99D5E" w14:textId="77777777" w:rsidR="00E12662" w:rsidRPr="00710B59" w:rsidRDefault="00E12662" w:rsidP="00710B59">
      <w:pPr>
        <w:pStyle w:val="ListParagraph"/>
        <w:rPr>
          <w:u w:val="none"/>
        </w:rPr>
      </w:pPr>
      <w:r w:rsidRPr="00710B59">
        <w:rPr>
          <w:u w:val="none"/>
        </w:rPr>
        <w:t>consider how the cloud service will co-exist with your other ICT service delivery models</w:t>
      </w:r>
    </w:p>
    <w:p w14:paraId="4D16F132" w14:textId="77777777" w:rsidR="00E12662" w:rsidRPr="00710B59" w:rsidRDefault="00E12662" w:rsidP="00710B59">
      <w:pPr>
        <w:pStyle w:val="ListParagraph"/>
        <w:rPr>
          <w:u w:val="none"/>
        </w:rPr>
      </w:pPr>
      <w:r w:rsidRPr="00710B59">
        <w:rPr>
          <w:u w:val="none"/>
        </w:rPr>
        <w:t>consider the skills available to you and what skills will need to be brought in.</w:t>
      </w:r>
    </w:p>
    <w:p w14:paraId="042FE109" w14:textId="77777777" w:rsidR="00E12662" w:rsidRDefault="00E12662" w:rsidP="00E12662">
      <w:pPr>
        <w:pStyle w:val="Heading2"/>
      </w:pPr>
      <w:r>
        <w:t>Technical Barriers and Interoperability/Integration</w:t>
      </w:r>
    </w:p>
    <w:p w14:paraId="3BD8CFE4" w14:textId="77777777" w:rsidR="00E12662" w:rsidRDefault="00E12662" w:rsidP="00E12662">
      <w:pPr>
        <w:pStyle w:val="-Normal-"/>
      </w:pPr>
      <w:r>
        <w:t>Consider the potential synergies with and impacts to existing technical architecture and infrastructure.</w:t>
      </w:r>
    </w:p>
    <w:p w14:paraId="07AC2B75" w14:textId="77777777" w:rsidR="00E12662" w:rsidRPr="0020054F" w:rsidRDefault="00E12662" w:rsidP="00E12662">
      <w:pPr>
        <w:pStyle w:val="-Normal-"/>
      </w:pPr>
      <w:r w:rsidRPr="002409B1">
        <w:t xml:space="preserve">Cloud </w:t>
      </w:r>
      <w:r>
        <w:t>services may</w:t>
      </w:r>
      <w:r w:rsidRPr="002409B1">
        <w:t xml:space="preserve"> need to share data between applications</w:t>
      </w:r>
      <w:r>
        <w:t xml:space="preserve">/services. </w:t>
      </w:r>
      <w:r w:rsidRPr="002409B1">
        <w:t xml:space="preserve">As </w:t>
      </w:r>
      <w:r>
        <w:t>c</w:t>
      </w:r>
      <w:r w:rsidRPr="002409B1">
        <w:t>loud adoption progresses</w:t>
      </w:r>
      <w:r>
        <w:t>,</w:t>
      </w:r>
      <w:r w:rsidRPr="002409B1">
        <w:t xml:space="preserve"> there </w:t>
      </w:r>
      <w:r>
        <w:t>may</w:t>
      </w:r>
      <w:r w:rsidRPr="002409B1">
        <w:t xml:space="preserve"> be a need to exchange data between different </w:t>
      </w:r>
      <w:r>
        <w:t>c</w:t>
      </w:r>
      <w:r w:rsidRPr="002409B1">
        <w:t xml:space="preserve">loud </w:t>
      </w:r>
      <w:r>
        <w:t>service</w:t>
      </w:r>
      <w:r w:rsidRPr="002409B1">
        <w:t xml:space="preserve">s </w:t>
      </w:r>
      <w:r>
        <w:t xml:space="preserve">and with legacy applications </w:t>
      </w:r>
      <w:r w:rsidRPr="002409B1">
        <w:t xml:space="preserve">within an agency or across government. Architecture decisions may influence the choice of deployment </w:t>
      </w:r>
      <w:r>
        <w:t>options</w:t>
      </w:r>
      <w:r w:rsidRPr="0045768D">
        <w:t xml:space="preserve"> </w:t>
      </w:r>
      <w:r w:rsidRPr="002409B1">
        <w:t>to reduce integration effort and costs.</w:t>
      </w:r>
    </w:p>
    <w:p w14:paraId="730BE1DF" w14:textId="77777777" w:rsidR="00E12662" w:rsidRDefault="00E12662" w:rsidP="00E12662">
      <w:pPr>
        <w:spacing w:after="0" w:line="240" w:lineRule="auto"/>
        <w:rPr>
          <w:rFonts w:eastAsiaTheme="majorEastAsia" w:cstheme="majorBidi"/>
          <w:b/>
          <w:color w:val="000000" w:themeColor="text1"/>
          <w:szCs w:val="26"/>
        </w:rPr>
      </w:pPr>
      <w:r>
        <w:br w:type="page"/>
      </w:r>
    </w:p>
    <w:p w14:paraId="29E514F6" w14:textId="77777777" w:rsidR="00E12662" w:rsidRPr="00106306" w:rsidRDefault="00E12662" w:rsidP="00E12662">
      <w:pPr>
        <w:pStyle w:val="Heading2"/>
      </w:pPr>
      <w:r>
        <w:lastRenderedPageBreak/>
        <w:t>Network Requirements</w:t>
      </w:r>
    </w:p>
    <w:p w14:paraId="5461D90A" w14:textId="3EB75808" w:rsidR="00E12662" w:rsidRDefault="00E12662" w:rsidP="00E12662">
      <w:pPr>
        <w:pStyle w:val="-Normal-"/>
      </w:pPr>
      <w:r>
        <w:t xml:space="preserve">Guidance on the </w:t>
      </w:r>
      <w:r w:rsidRPr="00037A4C">
        <w:t>choices and considerations for utilising external and internal government networks is provided in</w:t>
      </w:r>
      <w:r>
        <w:t xml:space="preserve"> the</w:t>
      </w:r>
      <w:r w:rsidRPr="00037A4C">
        <w:t xml:space="preserve"> </w:t>
      </w:r>
      <w:hyperlink r:id="rId8" w:history="1">
        <w:r w:rsidRPr="00710B59">
          <w:rPr>
            <w:rStyle w:val="Hyperlink"/>
            <w:u w:val="single"/>
          </w:rPr>
          <w:t>Cloud Computing Network Guideline</w:t>
        </w:r>
      </w:hyperlink>
      <w:r w:rsidRPr="00037A4C">
        <w:t>.</w:t>
      </w:r>
    </w:p>
    <w:p w14:paraId="48D02CE6" w14:textId="77777777" w:rsidR="00E12662" w:rsidRPr="00F20B1A" w:rsidRDefault="00E12662" w:rsidP="00E12662">
      <w:pPr>
        <w:spacing w:line="240" w:lineRule="auto"/>
        <w:rPr>
          <w:rFonts w:cs="Arial"/>
          <w:b/>
        </w:rPr>
      </w:pPr>
      <w:r>
        <w:rPr>
          <w:rFonts w:cs="Arial"/>
          <w:b/>
        </w:rPr>
        <w:t>Business Continuity and Needs</w:t>
      </w:r>
    </w:p>
    <w:p w14:paraId="75574C57" w14:textId="77777777" w:rsidR="00E12662" w:rsidRDefault="00E12662" w:rsidP="00E12662">
      <w:pPr>
        <w:pStyle w:val="-Normal-"/>
      </w:pPr>
      <w:r>
        <w:t>Business continuity and disaster recovery plans are required to manage sustained interruptions to service availability. You</w:t>
      </w:r>
      <w:r w:rsidRPr="0020054F">
        <w:t xml:space="preserve"> </w:t>
      </w:r>
      <w:r>
        <w:t>should confirm that a provider’s business continuity and disaster recovery capabilities meet your needs.</w:t>
      </w:r>
    </w:p>
    <w:p w14:paraId="3118AF2D" w14:textId="77777777" w:rsidR="00E12662" w:rsidRDefault="00E12662" w:rsidP="00E12662">
      <w:pPr>
        <w:pStyle w:val="-Normal-"/>
      </w:pPr>
      <w:r>
        <w:t>For subscription-based services, you should ensure that subscription levels reflect requirements and are readily scalable up and down according to demand.</w:t>
      </w:r>
    </w:p>
    <w:p w14:paraId="1B0517B5" w14:textId="77777777" w:rsidR="00E12662" w:rsidRPr="00106306" w:rsidRDefault="00E12662" w:rsidP="00E12662">
      <w:pPr>
        <w:pStyle w:val="Heading2"/>
      </w:pPr>
      <w:r>
        <w:t>Data</w:t>
      </w:r>
    </w:p>
    <w:p w14:paraId="2D6B43BC" w14:textId="1F24F589" w:rsidR="00E12662" w:rsidRDefault="00E12662" w:rsidP="00E12662">
      <w:pPr>
        <w:pStyle w:val="-Normal-"/>
      </w:pPr>
      <w:r w:rsidRPr="002409B1">
        <w:t xml:space="preserve">Before </w:t>
      </w:r>
      <w:r>
        <w:t>selecting a model, you must</w:t>
      </w:r>
      <w:r w:rsidRPr="002409B1">
        <w:t xml:space="preserve"> understand the security, privacy, sensitivity, access and regulatory re</w:t>
      </w:r>
      <w:r>
        <w:t xml:space="preserve">quirements of your </w:t>
      </w:r>
      <w:r w:rsidRPr="002409B1">
        <w:t>data</w:t>
      </w:r>
      <w:r>
        <w:t xml:space="preserve">. </w:t>
      </w:r>
      <w:r w:rsidRPr="002409B1">
        <w:t xml:space="preserve">The data that is to be processed, transmitted and stored by a business application should be classified in accordance with the </w:t>
      </w:r>
      <w:hyperlink r:id="rId9" w:history="1">
        <w:r w:rsidRPr="00710B59">
          <w:rPr>
            <w:rStyle w:val="Hyperlink"/>
            <w:u w:val="single"/>
          </w:rPr>
          <w:t>Information Security Management Framework</w:t>
        </w:r>
      </w:hyperlink>
      <w:r w:rsidRPr="002409B1">
        <w:t>’</w:t>
      </w:r>
      <w:r>
        <w:t>s classification requirements.</w:t>
      </w:r>
    </w:p>
    <w:p w14:paraId="071259FE" w14:textId="77777777" w:rsidR="00E12662" w:rsidRDefault="00E12662" w:rsidP="00E12662">
      <w:pPr>
        <w:pStyle w:val="-Normal-"/>
      </w:pPr>
      <w:r w:rsidRPr="002409B1">
        <w:t>Only the</w:t>
      </w:r>
      <w:r>
        <w:t>n can you accurately assess security and privacy risks and confirm the correct c</w:t>
      </w:r>
      <w:r w:rsidRPr="002409B1">
        <w:t>loud deployment model</w:t>
      </w:r>
      <w:r>
        <w:t xml:space="preserve"> to meet compliance requirements. </w:t>
      </w:r>
      <w:r w:rsidRPr="002409B1">
        <w:t>This classification will also determine whether encryption is required to protect data in transit or at rest (in storage).</w:t>
      </w:r>
    </w:p>
    <w:p w14:paraId="66131ED1" w14:textId="77777777" w:rsidR="00E12662" w:rsidRDefault="00E12662" w:rsidP="00E12662">
      <w:pPr>
        <w:pStyle w:val="-Normal-"/>
      </w:pPr>
      <w:r>
        <w:t>Where using the cloud means sharing infrastructure (in multi-tenant situations), you should consider whether your business information should be segregated from that of other customers.</w:t>
      </w:r>
    </w:p>
    <w:p w14:paraId="069224F3" w14:textId="77777777" w:rsidR="00E12662" w:rsidRDefault="00E12662" w:rsidP="00E12662">
      <w:pPr>
        <w:pStyle w:val="-Normal-"/>
      </w:pPr>
      <w:r>
        <w:t>Adequate controls will need to be in place to ensure the security and privacy of your information. Access should be managed and granted to individual users and periodically reviewed by the business owner or delegated authority. In most circumstances, user access and any potential security or privacy violations should be audited.</w:t>
      </w:r>
    </w:p>
    <w:p w14:paraId="2FA03CC5" w14:textId="77777777" w:rsidR="00E12662" w:rsidRPr="00806F1D" w:rsidRDefault="00E12662" w:rsidP="00E12662">
      <w:pPr>
        <w:pStyle w:val="-Normal-"/>
      </w:pPr>
      <w:r>
        <w:t>Other considerations for managing data in the cloud include appropriate backup and recovery processes. The service provider should maintain regular copies of all hosted data and be able to execute restore mechanisms at any point in time.</w:t>
      </w:r>
    </w:p>
    <w:p w14:paraId="314817C7" w14:textId="77777777" w:rsidR="00E12662" w:rsidRPr="006A5940" w:rsidRDefault="00E12662" w:rsidP="00E12662">
      <w:pPr>
        <w:pStyle w:val="-Normal-"/>
      </w:pPr>
      <w:r w:rsidRPr="006A5940">
        <w:t>Further guidance for data and information can be found in:</w:t>
      </w:r>
    </w:p>
    <w:p w14:paraId="35C4E856" w14:textId="0E8E50AB" w:rsidR="00E12662" w:rsidRPr="00710B59" w:rsidRDefault="00517E3F" w:rsidP="00710B59">
      <w:pPr>
        <w:pStyle w:val="ListParagraph"/>
      </w:pPr>
      <w:hyperlink r:id="rId10" w:history="1">
        <w:r w:rsidR="00E12662" w:rsidRPr="00710B59">
          <w:rPr>
            <w:rStyle w:val="Hyperlink"/>
            <w:u w:val="single"/>
          </w:rPr>
          <w:t>ISMF Guideline 8a: An approach to classification using the ISMF</w:t>
        </w:r>
      </w:hyperlink>
    </w:p>
    <w:p w14:paraId="5E120A2D" w14:textId="61872B7D" w:rsidR="00E12662" w:rsidRPr="00710B59" w:rsidRDefault="00517E3F" w:rsidP="00710B59">
      <w:pPr>
        <w:pStyle w:val="ListParagraph"/>
      </w:pPr>
      <w:hyperlink r:id="rId11" w:history="1">
        <w:r w:rsidR="00E12662" w:rsidRPr="00710B59">
          <w:rPr>
            <w:rStyle w:val="Hyperlink"/>
            <w:u w:val="single"/>
          </w:rPr>
          <w:t>ISMF Ruling 2: Storage and processing of Australian Government information in outsourced or offshore ICT arrangements</w:t>
        </w:r>
      </w:hyperlink>
    </w:p>
    <w:p w14:paraId="751D3F81" w14:textId="1CD75B86" w:rsidR="00E12662" w:rsidRPr="00710B59" w:rsidRDefault="00517E3F" w:rsidP="00710B59">
      <w:pPr>
        <w:pStyle w:val="ListParagraph"/>
        <w:rPr>
          <w:lang w:val="en-US"/>
        </w:rPr>
      </w:pPr>
      <w:hyperlink r:id="rId12" w:history="1">
        <w:r w:rsidR="00E12662" w:rsidRPr="00710B59">
          <w:rPr>
            <w:rStyle w:val="Hyperlink"/>
            <w:u w:val="single"/>
          </w:rPr>
          <w:t>Off-site storage of SA Government data – executive guidance</w:t>
        </w:r>
      </w:hyperlink>
    </w:p>
    <w:p w14:paraId="7E1A2BEC" w14:textId="77777777" w:rsidR="00E12662" w:rsidRDefault="00E12662" w:rsidP="00E12662">
      <w:pPr>
        <w:pStyle w:val="Heading2"/>
      </w:pPr>
      <w:r>
        <w:t>Assurance</w:t>
      </w:r>
    </w:p>
    <w:p w14:paraId="4D140ADF" w14:textId="77777777" w:rsidR="00E12662" w:rsidRPr="00B35EE0" w:rsidRDefault="00E12662" w:rsidP="00E12662">
      <w:pPr>
        <w:pStyle w:val="-Normal-"/>
      </w:pPr>
      <w:r w:rsidRPr="00B35EE0">
        <w:t xml:space="preserve">Conventional ICT service providers often have audits conducted on their systems, either </w:t>
      </w:r>
      <w:r>
        <w:t>by</w:t>
      </w:r>
      <w:r w:rsidRPr="00B35EE0">
        <w:t xml:space="preserve"> the customer or through the use of independent third</w:t>
      </w:r>
      <w:r>
        <w:t>-</w:t>
      </w:r>
      <w:r w:rsidRPr="00B35EE0">
        <w:t>party auditors</w:t>
      </w:r>
      <w:r>
        <w:t>. Audits of c</w:t>
      </w:r>
      <w:r w:rsidRPr="00B35EE0">
        <w:t>loud services may not be possible unless it is included as a term of the contract</w:t>
      </w:r>
      <w:r>
        <w:t xml:space="preserve">. </w:t>
      </w:r>
      <w:r w:rsidRPr="00B35EE0">
        <w:t>It is important that any regulatory and assurance requirements are understood before entering into a contract.</w:t>
      </w:r>
    </w:p>
    <w:p w14:paraId="14F1FCE2" w14:textId="77777777" w:rsidR="00E12662" w:rsidRPr="00F20B1A" w:rsidRDefault="00E12662" w:rsidP="00E12662">
      <w:pPr>
        <w:pStyle w:val="Heading2"/>
      </w:pPr>
      <w:r>
        <w:lastRenderedPageBreak/>
        <w:t>Business Case</w:t>
      </w:r>
    </w:p>
    <w:p w14:paraId="227F24D9" w14:textId="77777777" w:rsidR="00E12662" w:rsidRDefault="00E12662" w:rsidP="00E12662">
      <w:pPr>
        <w:pStyle w:val="-Normal-"/>
      </w:pPr>
      <w:r w:rsidRPr="00910C85">
        <w:t>A business case for a cloud service should consider all of the elements required by a standard business case</w:t>
      </w:r>
      <w:r>
        <w:t>.</w:t>
      </w:r>
    </w:p>
    <w:p w14:paraId="02B55BE6" w14:textId="77777777" w:rsidR="00E12662" w:rsidRDefault="00E12662" w:rsidP="00E12662">
      <w:pPr>
        <w:pStyle w:val="-Normal-"/>
      </w:pPr>
      <w:r>
        <w:t>T</w:t>
      </w:r>
      <w:r w:rsidRPr="00910C85">
        <w:t>he business case should</w:t>
      </w:r>
      <w:r w:rsidRPr="00A13006">
        <w:t xml:space="preserve"> emphasise</w:t>
      </w:r>
      <w:r w:rsidRPr="00910C85">
        <w:t xml:space="preserve"> how the various deployment options contribute to </w:t>
      </w:r>
      <w:r>
        <w:t>achieving service delivery outcomes. It should outline all options, and provide an analysis of all costs (including the pricing model) and benefits for each option.</w:t>
      </w:r>
    </w:p>
    <w:p w14:paraId="0293297A" w14:textId="77777777" w:rsidR="00E12662" w:rsidRDefault="00E12662" w:rsidP="00E12662">
      <w:pPr>
        <w:pStyle w:val="-Normal-"/>
      </w:pPr>
      <w:r>
        <w:t>Common benefits that may be appropriate to include are:</w:t>
      </w:r>
      <w:r w:rsidRPr="00910C85">
        <w:t xml:space="preserve"> </w:t>
      </w:r>
    </w:p>
    <w:p w14:paraId="62AAD329" w14:textId="77777777" w:rsidR="00E12662" w:rsidRPr="00710B59" w:rsidRDefault="00E12662" w:rsidP="00710B59">
      <w:pPr>
        <w:pStyle w:val="ListParagraph"/>
        <w:rPr>
          <w:u w:val="none"/>
        </w:rPr>
      </w:pPr>
      <w:r w:rsidRPr="00710B59">
        <w:rPr>
          <w:u w:val="none"/>
        </w:rPr>
        <w:t>reduction of ICT infrastructure/reduced capital costs</w:t>
      </w:r>
    </w:p>
    <w:p w14:paraId="4E73B251" w14:textId="77777777" w:rsidR="00E12662" w:rsidRPr="00710B59" w:rsidRDefault="00E12662" w:rsidP="00710B59">
      <w:pPr>
        <w:pStyle w:val="ListParagraph"/>
        <w:rPr>
          <w:u w:val="none"/>
        </w:rPr>
      </w:pPr>
      <w:r w:rsidRPr="00710B59">
        <w:rPr>
          <w:u w:val="none"/>
        </w:rPr>
        <w:t>rationalisation or optimisation of infrastructure</w:t>
      </w:r>
    </w:p>
    <w:p w14:paraId="478CAB3C" w14:textId="77777777" w:rsidR="00E12662" w:rsidRPr="00710B59" w:rsidRDefault="00E12662" w:rsidP="00710B59">
      <w:pPr>
        <w:pStyle w:val="ListParagraph"/>
        <w:rPr>
          <w:u w:val="none"/>
        </w:rPr>
      </w:pPr>
      <w:r w:rsidRPr="00710B59">
        <w:rPr>
          <w:u w:val="none"/>
        </w:rPr>
        <w:t xml:space="preserve">standardisation </w:t>
      </w:r>
    </w:p>
    <w:p w14:paraId="7A920684" w14:textId="77777777" w:rsidR="00E12662" w:rsidRPr="00710B59" w:rsidRDefault="00E12662" w:rsidP="00710B59">
      <w:pPr>
        <w:pStyle w:val="ListParagraph"/>
        <w:rPr>
          <w:u w:val="none"/>
        </w:rPr>
      </w:pPr>
      <w:r w:rsidRPr="00710B59">
        <w:rPr>
          <w:u w:val="none"/>
        </w:rPr>
        <w:t>reduced implementation effort</w:t>
      </w:r>
    </w:p>
    <w:p w14:paraId="4F110178" w14:textId="77777777" w:rsidR="00E12662" w:rsidRPr="00710B59" w:rsidRDefault="00E12662" w:rsidP="00710B59">
      <w:pPr>
        <w:pStyle w:val="ListParagraph"/>
        <w:rPr>
          <w:u w:val="none"/>
        </w:rPr>
      </w:pPr>
      <w:r w:rsidRPr="00710B59">
        <w:rPr>
          <w:u w:val="none"/>
        </w:rPr>
        <w:t>volume discounts.</w:t>
      </w:r>
    </w:p>
    <w:p w14:paraId="5A723AD3" w14:textId="77777777" w:rsidR="00E12662" w:rsidRDefault="00E12662" w:rsidP="00E12662">
      <w:pPr>
        <w:pStyle w:val="Heading2"/>
      </w:pPr>
      <w:r>
        <w:t>Costs</w:t>
      </w:r>
    </w:p>
    <w:p w14:paraId="6B478F82" w14:textId="77777777" w:rsidR="00E12662" w:rsidRPr="00BA0ACB" w:rsidRDefault="00E12662" w:rsidP="00E12662">
      <w:pPr>
        <w:pStyle w:val="-Normal-"/>
      </w:pPr>
      <w:r w:rsidRPr="00BA0ACB">
        <w:t>Cloud services</w:t>
      </w:r>
      <w:r>
        <w:t xml:space="preserve"> </w:t>
      </w:r>
      <w:r w:rsidRPr="00BA0ACB">
        <w:t>may be a</w:t>
      </w:r>
      <w:r>
        <w:t xml:space="preserve"> </w:t>
      </w:r>
      <w:r w:rsidRPr="00BA0ACB">
        <w:t>low-cost option if</w:t>
      </w:r>
      <w:r>
        <w:t xml:space="preserve"> </w:t>
      </w:r>
      <w:r w:rsidRPr="00BA0ACB">
        <w:t>they reduce t</w:t>
      </w:r>
      <w:r>
        <w:t xml:space="preserve">he need for ICT infrastructure. However, </w:t>
      </w:r>
      <w:r w:rsidRPr="00BA0ACB">
        <w:t>an understanding of all operating costs will v</w:t>
      </w:r>
      <w:r>
        <w:t>erify whether this is the case. Consider whether the application has a high data transfer requirement. H</w:t>
      </w:r>
      <w:r w:rsidRPr="00BA0ACB">
        <w:t>eavy reliance on networks and increased data transmission</w:t>
      </w:r>
      <w:r>
        <w:t xml:space="preserve"> will add to an agency’s costs.</w:t>
      </w:r>
    </w:p>
    <w:p w14:paraId="33596CC8" w14:textId="77777777" w:rsidR="00E12662" w:rsidRPr="00BA0ACB" w:rsidRDefault="00E12662" w:rsidP="00E12662">
      <w:pPr>
        <w:pStyle w:val="-Normal-"/>
      </w:pPr>
      <w:r>
        <w:t xml:space="preserve">The cost model </w:t>
      </w:r>
      <w:r w:rsidRPr="00BA0ACB">
        <w:t>need</w:t>
      </w:r>
      <w:r>
        <w:t>s</w:t>
      </w:r>
      <w:r w:rsidRPr="00BA0ACB">
        <w:t xml:space="preserve"> to</w:t>
      </w:r>
      <w:r>
        <w:t xml:space="preserve"> allo</w:t>
      </w:r>
      <w:r w:rsidRPr="00BA0ACB">
        <w:t xml:space="preserve">w </w:t>
      </w:r>
      <w:r>
        <w:t xml:space="preserve">for unexpected peaks in demand and for </w:t>
      </w:r>
      <w:r w:rsidRPr="00BA0ACB">
        <w:t>scaling and changes to the service</w:t>
      </w:r>
      <w:r>
        <w:t xml:space="preserve">. </w:t>
      </w:r>
      <w:r w:rsidRPr="00BA0ACB">
        <w:t>Pricing needs to be transparent</w:t>
      </w:r>
      <w:r>
        <w:t>,</w:t>
      </w:r>
      <w:r w:rsidRPr="00BA0ACB">
        <w:t xml:space="preserve"> especially for subscription-based licen</w:t>
      </w:r>
      <w:r>
        <w:t xml:space="preserve">ses which, given the adoption and elasticity of cloud services, may vary considerably </w:t>
      </w:r>
      <w:r w:rsidRPr="00BA0ACB">
        <w:t xml:space="preserve">over </w:t>
      </w:r>
      <w:r>
        <w:t>time.</w:t>
      </w:r>
    </w:p>
    <w:p w14:paraId="08AF068E" w14:textId="77777777" w:rsidR="00E12662" w:rsidRPr="00BA0ACB" w:rsidRDefault="00E12662" w:rsidP="00E12662">
      <w:pPr>
        <w:pStyle w:val="-Normal-"/>
      </w:pPr>
      <w:r>
        <w:t xml:space="preserve">Consider the ongoing cost of data storage and data growth and costs relating to the </w:t>
      </w:r>
      <w:r w:rsidRPr="00BA0ACB">
        <w:t xml:space="preserve">decommissioning </w:t>
      </w:r>
      <w:r>
        <w:t xml:space="preserve">of </w:t>
      </w:r>
      <w:r w:rsidRPr="00BA0ACB">
        <w:t>exiting services.</w:t>
      </w:r>
    </w:p>
    <w:p w14:paraId="3D9B3D84" w14:textId="77777777" w:rsidR="00E12662" w:rsidRDefault="00E12662" w:rsidP="00E12662">
      <w:pPr>
        <w:pStyle w:val="-Normal-"/>
      </w:pPr>
      <w:r>
        <w:t>A sound business case will ensure that the financial analysis identifies all costs when comparing proposed delivery options. It is most important to understand the Total Cost of Ownership (TCO), by identifying categories of spending and types of costs, including the obvious and the hidden costs, for example:</w:t>
      </w:r>
    </w:p>
    <w:tbl>
      <w:tblPr>
        <w:tblStyle w:val="DPCTable1"/>
        <w:tblpPr w:leftFromText="180" w:rightFromText="180" w:vertAnchor="text" w:horzAnchor="margin" w:tblpY="-35"/>
        <w:tblW w:w="0" w:type="auto"/>
        <w:tblLook w:val="04A0" w:firstRow="1" w:lastRow="0" w:firstColumn="1" w:lastColumn="0" w:noHBand="0" w:noVBand="1"/>
      </w:tblPr>
      <w:tblGrid>
        <w:gridCol w:w="2409"/>
        <w:gridCol w:w="2409"/>
        <w:gridCol w:w="2409"/>
        <w:gridCol w:w="2409"/>
      </w:tblGrid>
      <w:tr w:rsidR="00E12662" w:rsidRPr="00F26C2C" w14:paraId="06161248" w14:textId="77777777" w:rsidTr="00AF3B53">
        <w:trPr>
          <w:cnfStyle w:val="100000000000" w:firstRow="1" w:lastRow="0" w:firstColumn="0" w:lastColumn="0" w:oddVBand="0" w:evenVBand="0" w:oddHBand="0" w:evenHBand="0" w:firstRowFirstColumn="0" w:firstRowLastColumn="0" w:lastRowFirstColumn="0" w:lastRowLastColumn="0"/>
        </w:trPr>
        <w:tc>
          <w:tcPr>
            <w:tcW w:w="2409" w:type="dxa"/>
            <w:tcBorders>
              <w:top w:val="nil"/>
              <w:bottom w:val="single" w:sz="4" w:space="0" w:color="BFBFBF" w:themeColor="background1" w:themeShade="BF"/>
            </w:tcBorders>
            <w:shd w:val="clear" w:color="auto" w:fill="004B88" w:themeFill="text2"/>
          </w:tcPr>
          <w:p w14:paraId="0793D92F" w14:textId="77777777" w:rsidR="00E12662" w:rsidRPr="00F26C2C" w:rsidRDefault="00E12662" w:rsidP="00AF3B53">
            <w:pPr>
              <w:pStyle w:val="TableHeading1"/>
              <w:rPr>
                <w:rFonts w:ascii="Arial" w:hAnsi="Arial" w:cs="Arial"/>
                <w:b/>
              </w:rPr>
            </w:pPr>
          </w:p>
        </w:tc>
        <w:tc>
          <w:tcPr>
            <w:tcW w:w="2409" w:type="dxa"/>
            <w:tcBorders>
              <w:top w:val="nil"/>
              <w:bottom w:val="single" w:sz="4" w:space="0" w:color="BFBFBF" w:themeColor="background1" w:themeShade="BF"/>
            </w:tcBorders>
            <w:shd w:val="clear" w:color="auto" w:fill="004B88" w:themeFill="text2"/>
            <w:vAlign w:val="center"/>
          </w:tcPr>
          <w:p w14:paraId="4DFF8696" w14:textId="77777777" w:rsidR="00E12662" w:rsidRPr="00F26C2C" w:rsidRDefault="00E12662" w:rsidP="00AF3B53">
            <w:pPr>
              <w:pStyle w:val="TableHeading1"/>
              <w:jc w:val="center"/>
              <w:rPr>
                <w:rFonts w:ascii="Arial" w:hAnsi="Arial" w:cs="Arial"/>
                <w:b/>
              </w:rPr>
            </w:pPr>
            <w:r>
              <w:rPr>
                <w:rFonts w:ascii="Arial" w:hAnsi="Arial" w:cs="Arial"/>
                <w:b/>
              </w:rPr>
              <w:t>Acquisition Costs</w:t>
            </w:r>
          </w:p>
        </w:tc>
        <w:tc>
          <w:tcPr>
            <w:tcW w:w="2409" w:type="dxa"/>
            <w:tcBorders>
              <w:top w:val="nil"/>
              <w:bottom w:val="single" w:sz="4" w:space="0" w:color="BFBFBF" w:themeColor="background1" w:themeShade="BF"/>
            </w:tcBorders>
            <w:shd w:val="clear" w:color="auto" w:fill="004B88" w:themeFill="text2"/>
            <w:vAlign w:val="center"/>
          </w:tcPr>
          <w:p w14:paraId="5EDB1044" w14:textId="77777777" w:rsidR="00E12662" w:rsidRPr="00F26C2C" w:rsidRDefault="00E12662" w:rsidP="00AF3B53">
            <w:pPr>
              <w:pStyle w:val="TableHeading1"/>
              <w:jc w:val="center"/>
              <w:rPr>
                <w:rFonts w:ascii="Arial" w:hAnsi="Arial" w:cs="Arial"/>
                <w:b/>
              </w:rPr>
            </w:pPr>
            <w:r>
              <w:rPr>
                <w:rFonts w:ascii="Arial" w:hAnsi="Arial" w:cs="Arial"/>
                <w:b/>
              </w:rPr>
              <w:t>Operating Costs</w:t>
            </w:r>
          </w:p>
        </w:tc>
        <w:tc>
          <w:tcPr>
            <w:tcW w:w="2409" w:type="dxa"/>
            <w:tcBorders>
              <w:top w:val="nil"/>
              <w:bottom w:val="single" w:sz="4" w:space="0" w:color="BFBFBF" w:themeColor="background1" w:themeShade="BF"/>
            </w:tcBorders>
            <w:shd w:val="clear" w:color="auto" w:fill="004B88" w:themeFill="text2"/>
            <w:vAlign w:val="center"/>
          </w:tcPr>
          <w:p w14:paraId="150BF080" w14:textId="77777777" w:rsidR="00E12662" w:rsidRPr="00F26C2C" w:rsidRDefault="00E12662" w:rsidP="00AF3B53">
            <w:pPr>
              <w:pStyle w:val="TableHeading1"/>
              <w:jc w:val="center"/>
              <w:rPr>
                <w:rFonts w:ascii="Arial" w:hAnsi="Arial" w:cs="Arial"/>
                <w:b/>
              </w:rPr>
            </w:pPr>
            <w:r>
              <w:rPr>
                <w:rFonts w:ascii="Arial" w:hAnsi="Arial" w:cs="Arial"/>
                <w:b/>
              </w:rPr>
              <w:t>Change Costs</w:t>
            </w:r>
          </w:p>
        </w:tc>
      </w:tr>
      <w:tr w:rsidR="00E12662" w:rsidRPr="00417C99" w14:paraId="08833D14" w14:textId="77777777" w:rsidTr="00AF3B53">
        <w:tc>
          <w:tcPr>
            <w:tcW w:w="2409" w:type="dxa"/>
            <w:tcBorders>
              <w:top w:val="single" w:sz="4" w:space="0" w:color="BFBFBF" w:themeColor="background1" w:themeShade="BF"/>
              <w:bottom w:val="single" w:sz="4" w:space="0" w:color="FFFFFF" w:themeColor="background1"/>
            </w:tcBorders>
            <w:shd w:val="clear" w:color="auto" w:fill="DDE0E7"/>
            <w:vAlign w:val="center"/>
          </w:tcPr>
          <w:p w14:paraId="17C7F4FA" w14:textId="77777777" w:rsidR="00E12662" w:rsidRPr="00A13006" w:rsidRDefault="00E12662" w:rsidP="00AF3B53">
            <w:pPr>
              <w:spacing w:after="80" w:line="240" w:lineRule="auto"/>
              <w:rPr>
                <w:rFonts w:cs="Arial"/>
                <w:b/>
                <w:bCs/>
                <w:sz w:val="20"/>
                <w:szCs w:val="18"/>
                <w:lang w:eastAsia="en-AU"/>
              </w:rPr>
            </w:pPr>
            <w:r w:rsidRPr="00A13006">
              <w:rPr>
                <w:rFonts w:cs="Arial"/>
                <w:b/>
                <w:bCs/>
                <w:sz w:val="20"/>
                <w:szCs w:val="18"/>
                <w:lang w:eastAsia="en-AU"/>
              </w:rPr>
              <w:t>Software</w:t>
            </w:r>
          </w:p>
        </w:tc>
        <w:tc>
          <w:tcPr>
            <w:tcW w:w="2409" w:type="dxa"/>
            <w:tcBorders>
              <w:top w:val="single" w:sz="4" w:space="0" w:color="BFBFBF" w:themeColor="background1" w:themeShade="BF"/>
              <w:bottom w:val="single" w:sz="4" w:space="0" w:color="FFFFFF" w:themeColor="background1"/>
            </w:tcBorders>
            <w:shd w:val="clear" w:color="auto" w:fill="DDE0E7"/>
          </w:tcPr>
          <w:p w14:paraId="6D0DE3B9" w14:textId="77777777" w:rsidR="00E12662" w:rsidRPr="00A13006" w:rsidRDefault="00E12662" w:rsidP="00AF3B53">
            <w:pPr>
              <w:spacing w:after="80" w:line="240" w:lineRule="auto"/>
              <w:jc w:val="center"/>
              <w:rPr>
                <w:rFonts w:cs="Arial"/>
                <w:sz w:val="20"/>
                <w:szCs w:val="18"/>
                <w:lang w:eastAsia="en-AU"/>
              </w:rPr>
            </w:pPr>
            <w:r w:rsidRPr="00A13006">
              <w:rPr>
                <w:rFonts w:cs="Arial"/>
                <w:sz w:val="20"/>
                <w:szCs w:val="18"/>
                <w:lang w:eastAsia="en-AU"/>
              </w:rPr>
              <w:t>Obvious costs</w:t>
            </w:r>
          </w:p>
        </w:tc>
        <w:tc>
          <w:tcPr>
            <w:tcW w:w="2409" w:type="dxa"/>
            <w:tcBorders>
              <w:top w:val="single" w:sz="4" w:space="0" w:color="BFBFBF" w:themeColor="background1" w:themeShade="BF"/>
              <w:bottom w:val="single" w:sz="4" w:space="0" w:color="FFFFFF" w:themeColor="background1"/>
            </w:tcBorders>
            <w:shd w:val="clear" w:color="auto" w:fill="DDE0E7"/>
          </w:tcPr>
          <w:p w14:paraId="48E6264B" w14:textId="77777777" w:rsidR="00E12662" w:rsidRPr="00A13006" w:rsidRDefault="00E12662" w:rsidP="00AF3B53">
            <w:pPr>
              <w:spacing w:after="80" w:line="240" w:lineRule="auto"/>
              <w:jc w:val="center"/>
              <w:rPr>
                <w:rFonts w:cs="Arial"/>
                <w:sz w:val="20"/>
                <w:szCs w:val="18"/>
                <w:lang w:eastAsia="en-AU"/>
              </w:rPr>
            </w:pPr>
            <w:r w:rsidRPr="00A13006">
              <w:rPr>
                <w:rFonts w:cs="Arial"/>
                <w:sz w:val="20"/>
                <w:szCs w:val="18"/>
                <w:lang w:eastAsia="en-AU"/>
              </w:rPr>
              <w:t>Obvious costs</w:t>
            </w:r>
          </w:p>
        </w:tc>
        <w:tc>
          <w:tcPr>
            <w:tcW w:w="2409" w:type="dxa"/>
            <w:tcBorders>
              <w:top w:val="single" w:sz="4" w:space="0" w:color="BFBFBF" w:themeColor="background1" w:themeShade="BF"/>
              <w:bottom w:val="single" w:sz="4" w:space="0" w:color="FFFFFF" w:themeColor="background1"/>
            </w:tcBorders>
            <w:shd w:val="clear" w:color="auto" w:fill="DDE0E7"/>
          </w:tcPr>
          <w:p w14:paraId="4057EF47" w14:textId="77777777" w:rsidR="00E12662" w:rsidRPr="00A13006" w:rsidRDefault="00E12662" w:rsidP="00AF3B53">
            <w:pPr>
              <w:spacing w:after="80" w:line="240" w:lineRule="auto"/>
              <w:jc w:val="center"/>
              <w:rPr>
                <w:rFonts w:cs="Arial"/>
                <w:sz w:val="20"/>
                <w:szCs w:val="18"/>
                <w:lang w:eastAsia="en-AU"/>
              </w:rPr>
            </w:pPr>
            <w:r w:rsidRPr="00A13006">
              <w:rPr>
                <w:rFonts w:cs="Arial"/>
                <w:sz w:val="20"/>
                <w:szCs w:val="18"/>
                <w:lang w:eastAsia="en-AU"/>
              </w:rPr>
              <w:t>Hidden costs</w:t>
            </w:r>
          </w:p>
        </w:tc>
      </w:tr>
      <w:tr w:rsidR="00E12662" w:rsidRPr="00417C99" w14:paraId="4DFE5C66" w14:textId="77777777" w:rsidTr="00AF3B53">
        <w:tc>
          <w:tcPr>
            <w:tcW w:w="2409" w:type="dxa"/>
            <w:tcBorders>
              <w:top w:val="single" w:sz="4" w:space="0" w:color="FFFFFF" w:themeColor="background1"/>
              <w:bottom w:val="single" w:sz="4" w:space="0" w:color="FFFFFF" w:themeColor="background1"/>
            </w:tcBorders>
            <w:shd w:val="clear" w:color="auto" w:fill="DDE0E7"/>
            <w:vAlign w:val="center"/>
          </w:tcPr>
          <w:p w14:paraId="2DCAEA47" w14:textId="77777777" w:rsidR="00E12662" w:rsidRPr="00A13006" w:rsidRDefault="00E12662" w:rsidP="00AF3B53">
            <w:pPr>
              <w:spacing w:after="80" w:line="240" w:lineRule="auto"/>
              <w:rPr>
                <w:rFonts w:cs="Arial"/>
                <w:b/>
                <w:bCs/>
                <w:sz w:val="20"/>
                <w:szCs w:val="18"/>
                <w:lang w:eastAsia="en-AU"/>
              </w:rPr>
            </w:pPr>
            <w:r w:rsidRPr="00A13006">
              <w:rPr>
                <w:rFonts w:cs="Arial"/>
                <w:b/>
                <w:bCs/>
                <w:sz w:val="20"/>
                <w:szCs w:val="18"/>
                <w:lang w:eastAsia="en-AU"/>
              </w:rPr>
              <w:t>Hardware</w:t>
            </w:r>
          </w:p>
        </w:tc>
        <w:tc>
          <w:tcPr>
            <w:tcW w:w="2409" w:type="dxa"/>
            <w:tcBorders>
              <w:top w:val="single" w:sz="4" w:space="0" w:color="FFFFFF" w:themeColor="background1"/>
              <w:bottom w:val="single" w:sz="4" w:space="0" w:color="FFFFFF" w:themeColor="background1"/>
            </w:tcBorders>
            <w:shd w:val="clear" w:color="auto" w:fill="DDE0E7"/>
          </w:tcPr>
          <w:p w14:paraId="5C8A809B" w14:textId="77777777" w:rsidR="00E12662" w:rsidRPr="00A13006" w:rsidRDefault="00E12662" w:rsidP="00AF3B53">
            <w:pPr>
              <w:spacing w:after="80" w:line="240" w:lineRule="auto"/>
              <w:jc w:val="center"/>
              <w:rPr>
                <w:rFonts w:cs="Arial"/>
                <w:sz w:val="20"/>
                <w:szCs w:val="18"/>
                <w:lang w:eastAsia="en-AU"/>
              </w:rPr>
            </w:pPr>
            <w:r w:rsidRPr="00A13006">
              <w:rPr>
                <w:rFonts w:cs="Arial"/>
                <w:sz w:val="20"/>
                <w:szCs w:val="18"/>
                <w:lang w:eastAsia="en-AU"/>
              </w:rPr>
              <w:t>Obvious costs</w:t>
            </w:r>
          </w:p>
        </w:tc>
        <w:tc>
          <w:tcPr>
            <w:tcW w:w="2409" w:type="dxa"/>
            <w:tcBorders>
              <w:top w:val="single" w:sz="4" w:space="0" w:color="FFFFFF" w:themeColor="background1"/>
              <w:bottom w:val="single" w:sz="4" w:space="0" w:color="FFFFFF" w:themeColor="background1"/>
            </w:tcBorders>
            <w:shd w:val="clear" w:color="auto" w:fill="DDE0E7"/>
          </w:tcPr>
          <w:p w14:paraId="487499D8" w14:textId="77777777" w:rsidR="00E12662" w:rsidRPr="00A13006" w:rsidRDefault="00E12662" w:rsidP="00AF3B53">
            <w:pPr>
              <w:spacing w:after="80" w:line="240" w:lineRule="auto"/>
              <w:jc w:val="center"/>
              <w:rPr>
                <w:rFonts w:cs="Arial"/>
                <w:sz w:val="20"/>
                <w:szCs w:val="18"/>
                <w:lang w:eastAsia="en-AU"/>
              </w:rPr>
            </w:pPr>
            <w:r w:rsidRPr="00A13006">
              <w:rPr>
                <w:rFonts w:cs="Arial"/>
                <w:sz w:val="20"/>
                <w:szCs w:val="18"/>
                <w:lang w:eastAsia="en-AU"/>
              </w:rPr>
              <w:t>Obvious costs</w:t>
            </w:r>
          </w:p>
        </w:tc>
        <w:tc>
          <w:tcPr>
            <w:tcW w:w="2409" w:type="dxa"/>
            <w:tcBorders>
              <w:top w:val="single" w:sz="4" w:space="0" w:color="FFFFFF" w:themeColor="background1"/>
              <w:bottom w:val="single" w:sz="4" w:space="0" w:color="FFFFFF" w:themeColor="background1"/>
            </w:tcBorders>
            <w:shd w:val="clear" w:color="auto" w:fill="DDE0E7"/>
          </w:tcPr>
          <w:p w14:paraId="3C3EBDA6" w14:textId="77777777" w:rsidR="00E12662" w:rsidRPr="00A13006" w:rsidRDefault="00E12662" w:rsidP="00AF3B53">
            <w:pPr>
              <w:spacing w:after="80" w:line="240" w:lineRule="auto"/>
              <w:jc w:val="center"/>
              <w:rPr>
                <w:rFonts w:cs="Arial"/>
                <w:sz w:val="20"/>
                <w:szCs w:val="18"/>
                <w:lang w:eastAsia="en-AU"/>
              </w:rPr>
            </w:pPr>
            <w:r w:rsidRPr="00A13006">
              <w:rPr>
                <w:rFonts w:cs="Arial"/>
                <w:sz w:val="20"/>
                <w:szCs w:val="18"/>
                <w:lang w:eastAsia="en-AU"/>
              </w:rPr>
              <w:t>Hidden costs</w:t>
            </w:r>
          </w:p>
        </w:tc>
      </w:tr>
      <w:tr w:rsidR="00E12662" w:rsidRPr="00417C99" w14:paraId="36DF64AE" w14:textId="77777777" w:rsidTr="00AF3B53">
        <w:tc>
          <w:tcPr>
            <w:tcW w:w="2409" w:type="dxa"/>
            <w:tcBorders>
              <w:top w:val="single" w:sz="4" w:space="0" w:color="FFFFFF" w:themeColor="background1"/>
              <w:bottom w:val="single" w:sz="4" w:space="0" w:color="FFFFFF" w:themeColor="background1"/>
            </w:tcBorders>
            <w:shd w:val="clear" w:color="auto" w:fill="DDE0E7"/>
            <w:vAlign w:val="center"/>
          </w:tcPr>
          <w:p w14:paraId="322B9FC1" w14:textId="77777777" w:rsidR="00E12662" w:rsidRPr="00A13006" w:rsidRDefault="00E12662" w:rsidP="00AF3B53">
            <w:pPr>
              <w:spacing w:after="80" w:line="240" w:lineRule="auto"/>
              <w:rPr>
                <w:rFonts w:cs="Arial"/>
                <w:b/>
                <w:bCs/>
                <w:sz w:val="20"/>
                <w:szCs w:val="18"/>
                <w:lang w:eastAsia="en-AU"/>
              </w:rPr>
            </w:pPr>
            <w:r w:rsidRPr="00A13006">
              <w:rPr>
                <w:rFonts w:cs="Arial"/>
                <w:b/>
                <w:bCs/>
                <w:sz w:val="20"/>
                <w:szCs w:val="18"/>
                <w:lang w:eastAsia="en-AU"/>
              </w:rPr>
              <w:t>Staff</w:t>
            </w:r>
          </w:p>
        </w:tc>
        <w:tc>
          <w:tcPr>
            <w:tcW w:w="2409" w:type="dxa"/>
            <w:tcBorders>
              <w:top w:val="single" w:sz="4" w:space="0" w:color="FFFFFF" w:themeColor="background1"/>
              <w:bottom w:val="single" w:sz="4" w:space="0" w:color="FFFFFF" w:themeColor="background1"/>
            </w:tcBorders>
            <w:shd w:val="clear" w:color="auto" w:fill="DDE0E7"/>
          </w:tcPr>
          <w:p w14:paraId="4E9C7BC4" w14:textId="77777777" w:rsidR="00E12662" w:rsidRPr="00A13006" w:rsidRDefault="00E12662" w:rsidP="00AF3B53">
            <w:pPr>
              <w:spacing w:after="80" w:line="240" w:lineRule="auto"/>
              <w:jc w:val="center"/>
              <w:rPr>
                <w:rFonts w:cs="Arial"/>
                <w:sz w:val="20"/>
                <w:szCs w:val="18"/>
                <w:lang w:eastAsia="en-AU"/>
              </w:rPr>
            </w:pPr>
            <w:r w:rsidRPr="00A13006">
              <w:rPr>
                <w:rFonts w:cs="Arial"/>
                <w:sz w:val="20"/>
                <w:szCs w:val="18"/>
                <w:lang w:eastAsia="en-AU"/>
              </w:rPr>
              <w:t>Hidden costs</w:t>
            </w:r>
          </w:p>
        </w:tc>
        <w:tc>
          <w:tcPr>
            <w:tcW w:w="2409" w:type="dxa"/>
            <w:tcBorders>
              <w:top w:val="single" w:sz="4" w:space="0" w:color="FFFFFF" w:themeColor="background1"/>
              <w:bottom w:val="single" w:sz="4" w:space="0" w:color="FFFFFF" w:themeColor="background1"/>
            </w:tcBorders>
            <w:shd w:val="clear" w:color="auto" w:fill="DDE0E7"/>
          </w:tcPr>
          <w:p w14:paraId="6444E112" w14:textId="77777777" w:rsidR="00E12662" w:rsidRPr="00A13006" w:rsidRDefault="00E12662" w:rsidP="00AF3B53">
            <w:pPr>
              <w:spacing w:after="80" w:line="240" w:lineRule="auto"/>
              <w:jc w:val="center"/>
              <w:rPr>
                <w:rFonts w:cs="Arial"/>
                <w:sz w:val="20"/>
                <w:szCs w:val="18"/>
                <w:lang w:eastAsia="en-AU"/>
              </w:rPr>
            </w:pPr>
            <w:r w:rsidRPr="00A13006">
              <w:rPr>
                <w:rFonts w:cs="Arial"/>
                <w:sz w:val="20"/>
                <w:szCs w:val="18"/>
                <w:lang w:eastAsia="en-AU"/>
              </w:rPr>
              <w:t>Hidden costs</w:t>
            </w:r>
          </w:p>
        </w:tc>
        <w:tc>
          <w:tcPr>
            <w:tcW w:w="2409" w:type="dxa"/>
            <w:tcBorders>
              <w:top w:val="single" w:sz="4" w:space="0" w:color="FFFFFF" w:themeColor="background1"/>
              <w:bottom w:val="single" w:sz="4" w:space="0" w:color="FFFFFF" w:themeColor="background1"/>
            </w:tcBorders>
            <w:shd w:val="clear" w:color="auto" w:fill="DDE0E7"/>
          </w:tcPr>
          <w:p w14:paraId="417B6BB2" w14:textId="77777777" w:rsidR="00E12662" w:rsidRPr="00A13006" w:rsidRDefault="00E12662" w:rsidP="00AF3B53">
            <w:pPr>
              <w:spacing w:after="80" w:line="240" w:lineRule="auto"/>
              <w:jc w:val="center"/>
              <w:rPr>
                <w:rFonts w:cs="Arial"/>
                <w:sz w:val="20"/>
                <w:szCs w:val="18"/>
                <w:lang w:eastAsia="en-AU"/>
              </w:rPr>
            </w:pPr>
            <w:r w:rsidRPr="00A13006">
              <w:rPr>
                <w:rFonts w:cs="Arial"/>
                <w:sz w:val="20"/>
                <w:szCs w:val="18"/>
                <w:lang w:eastAsia="en-AU"/>
              </w:rPr>
              <w:t>Hidden costs</w:t>
            </w:r>
          </w:p>
        </w:tc>
      </w:tr>
      <w:tr w:rsidR="00E12662" w:rsidRPr="00417C99" w14:paraId="5B00C976" w14:textId="77777777" w:rsidTr="00AF3B53">
        <w:tc>
          <w:tcPr>
            <w:tcW w:w="2409" w:type="dxa"/>
            <w:tcBorders>
              <w:top w:val="single" w:sz="4" w:space="0" w:color="FFFFFF" w:themeColor="background1"/>
              <w:bottom w:val="single" w:sz="4" w:space="0" w:color="FFFFFF" w:themeColor="background1"/>
            </w:tcBorders>
            <w:shd w:val="clear" w:color="auto" w:fill="DDE0E7"/>
            <w:vAlign w:val="center"/>
          </w:tcPr>
          <w:p w14:paraId="332638F5" w14:textId="77777777" w:rsidR="00E12662" w:rsidRPr="00A13006" w:rsidRDefault="00E12662" w:rsidP="00AF3B53">
            <w:pPr>
              <w:spacing w:after="80" w:line="240" w:lineRule="auto"/>
              <w:rPr>
                <w:rFonts w:cs="Arial"/>
                <w:b/>
                <w:bCs/>
                <w:sz w:val="20"/>
                <w:szCs w:val="18"/>
                <w:lang w:eastAsia="en-AU"/>
              </w:rPr>
            </w:pPr>
            <w:r w:rsidRPr="00A13006">
              <w:rPr>
                <w:rFonts w:cs="Arial"/>
                <w:b/>
                <w:bCs/>
                <w:sz w:val="20"/>
                <w:szCs w:val="18"/>
                <w:lang w:eastAsia="en-AU"/>
              </w:rPr>
              <w:t>Communications</w:t>
            </w:r>
          </w:p>
        </w:tc>
        <w:tc>
          <w:tcPr>
            <w:tcW w:w="2409" w:type="dxa"/>
            <w:tcBorders>
              <w:top w:val="single" w:sz="4" w:space="0" w:color="FFFFFF" w:themeColor="background1"/>
              <w:bottom w:val="single" w:sz="4" w:space="0" w:color="FFFFFF" w:themeColor="background1"/>
            </w:tcBorders>
            <w:shd w:val="clear" w:color="auto" w:fill="DDE0E7"/>
          </w:tcPr>
          <w:p w14:paraId="5C63EF5C" w14:textId="77777777" w:rsidR="00E12662" w:rsidRPr="00A13006" w:rsidRDefault="00E12662" w:rsidP="00AF3B53">
            <w:pPr>
              <w:spacing w:after="80" w:line="240" w:lineRule="auto"/>
              <w:jc w:val="center"/>
              <w:rPr>
                <w:rFonts w:cs="Arial"/>
                <w:sz w:val="20"/>
                <w:szCs w:val="18"/>
                <w:lang w:eastAsia="en-AU"/>
              </w:rPr>
            </w:pPr>
            <w:r w:rsidRPr="00A13006">
              <w:rPr>
                <w:rFonts w:cs="Arial"/>
                <w:sz w:val="20"/>
                <w:szCs w:val="18"/>
                <w:lang w:eastAsia="en-AU"/>
              </w:rPr>
              <w:t>Hidden costs</w:t>
            </w:r>
          </w:p>
        </w:tc>
        <w:tc>
          <w:tcPr>
            <w:tcW w:w="2409" w:type="dxa"/>
            <w:tcBorders>
              <w:top w:val="single" w:sz="4" w:space="0" w:color="FFFFFF" w:themeColor="background1"/>
              <w:bottom w:val="single" w:sz="4" w:space="0" w:color="FFFFFF" w:themeColor="background1"/>
            </w:tcBorders>
            <w:shd w:val="clear" w:color="auto" w:fill="DDE0E7"/>
          </w:tcPr>
          <w:p w14:paraId="00E28CE5" w14:textId="77777777" w:rsidR="00E12662" w:rsidRPr="00A13006" w:rsidRDefault="00E12662" w:rsidP="00AF3B53">
            <w:pPr>
              <w:spacing w:after="80" w:line="240" w:lineRule="auto"/>
              <w:jc w:val="center"/>
              <w:rPr>
                <w:rFonts w:cs="Arial"/>
                <w:sz w:val="20"/>
                <w:szCs w:val="18"/>
                <w:lang w:eastAsia="en-AU"/>
              </w:rPr>
            </w:pPr>
            <w:r w:rsidRPr="00A13006">
              <w:rPr>
                <w:rFonts w:cs="Arial"/>
                <w:sz w:val="20"/>
                <w:szCs w:val="18"/>
                <w:lang w:eastAsia="en-AU"/>
              </w:rPr>
              <w:t>Hidden costs</w:t>
            </w:r>
          </w:p>
        </w:tc>
        <w:tc>
          <w:tcPr>
            <w:tcW w:w="2409" w:type="dxa"/>
            <w:tcBorders>
              <w:top w:val="single" w:sz="4" w:space="0" w:color="FFFFFF" w:themeColor="background1"/>
              <w:bottom w:val="single" w:sz="4" w:space="0" w:color="FFFFFF" w:themeColor="background1"/>
            </w:tcBorders>
            <w:shd w:val="clear" w:color="auto" w:fill="DDE0E7"/>
          </w:tcPr>
          <w:p w14:paraId="0E43D2F5" w14:textId="77777777" w:rsidR="00E12662" w:rsidRPr="00A13006" w:rsidRDefault="00E12662" w:rsidP="00AF3B53">
            <w:pPr>
              <w:spacing w:after="80" w:line="240" w:lineRule="auto"/>
              <w:jc w:val="center"/>
              <w:rPr>
                <w:rFonts w:cs="Arial"/>
                <w:sz w:val="20"/>
                <w:szCs w:val="18"/>
                <w:lang w:eastAsia="en-AU"/>
              </w:rPr>
            </w:pPr>
            <w:r w:rsidRPr="00A13006">
              <w:rPr>
                <w:rFonts w:cs="Arial"/>
                <w:sz w:val="20"/>
                <w:szCs w:val="18"/>
                <w:lang w:eastAsia="en-AU"/>
              </w:rPr>
              <w:t>Hidden costs</w:t>
            </w:r>
          </w:p>
        </w:tc>
      </w:tr>
      <w:tr w:rsidR="00E12662" w:rsidRPr="00417C99" w14:paraId="6FCE6796" w14:textId="77777777" w:rsidTr="00AF3B53">
        <w:tc>
          <w:tcPr>
            <w:tcW w:w="2409" w:type="dxa"/>
            <w:tcBorders>
              <w:top w:val="single" w:sz="4" w:space="0" w:color="FFFFFF" w:themeColor="background1"/>
              <w:bottom w:val="single" w:sz="12" w:space="0" w:color="004B88" w:themeColor="text2"/>
            </w:tcBorders>
            <w:shd w:val="clear" w:color="auto" w:fill="DDE0E7"/>
            <w:vAlign w:val="center"/>
          </w:tcPr>
          <w:p w14:paraId="483D8BA5" w14:textId="77777777" w:rsidR="00E12662" w:rsidRPr="00A13006" w:rsidRDefault="00E12662" w:rsidP="00AF3B53">
            <w:pPr>
              <w:spacing w:after="80" w:line="240" w:lineRule="auto"/>
              <w:rPr>
                <w:rFonts w:cs="Arial"/>
                <w:b/>
                <w:bCs/>
                <w:sz w:val="20"/>
                <w:szCs w:val="18"/>
                <w:lang w:eastAsia="en-AU"/>
              </w:rPr>
            </w:pPr>
            <w:r w:rsidRPr="00A13006">
              <w:rPr>
                <w:rFonts w:cs="Arial"/>
                <w:b/>
                <w:bCs/>
                <w:sz w:val="20"/>
                <w:szCs w:val="18"/>
                <w:lang w:eastAsia="en-AU"/>
              </w:rPr>
              <w:t>Facilities</w:t>
            </w:r>
          </w:p>
        </w:tc>
        <w:tc>
          <w:tcPr>
            <w:tcW w:w="2409" w:type="dxa"/>
            <w:tcBorders>
              <w:top w:val="single" w:sz="4" w:space="0" w:color="FFFFFF" w:themeColor="background1"/>
              <w:bottom w:val="single" w:sz="12" w:space="0" w:color="004B88" w:themeColor="text2"/>
            </w:tcBorders>
            <w:shd w:val="clear" w:color="auto" w:fill="DDE0E7"/>
          </w:tcPr>
          <w:p w14:paraId="7C231DF1" w14:textId="77777777" w:rsidR="00E12662" w:rsidRPr="00A13006" w:rsidRDefault="00E12662" w:rsidP="00AF3B53">
            <w:pPr>
              <w:spacing w:after="80" w:line="240" w:lineRule="auto"/>
              <w:jc w:val="center"/>
              <w:rPr>
                <w:rFonts w:cs="Arial"/>
                <w:sz w:val="20"/>
                <w:szCs w:val="18"/>
                <w:lang w:eastAsia="en-AU"/>
              </w:rPr>
            </w:pPr>
            <w:r w:rsidRPr="00A13006">
              <w:rPr>
                <w:rFonts w:cs="Arial"/>
                <w:sz w:val="20"/>
                <w:szCs w:val="18"/>
                <w:lang w:eastAsia="en-AU"/>
              </w:rPr>
              <w:t>Hidden costs</w:t>
            </w:r>
          </w:p>
        </w:tc>
        <w:tc>
          <w:tcPr>
            <w:tcW w:w="2409" w:type="dxa"/>
            <w:tcBorders>
              <w:top w:val="single" w:sz="4" w:space="0" w:color="FFFFFF" w:themeColor="background1"/>
              <w:bottom w:val="single" w:sz="12" w:space="0" w:color="004B88" w:themeColor="text2"/>
            </w:tcBorders>
            <w:shd w:val="clear" w:color="auto" w:fill="DDE0E7"/>
          </w:tcPr>
          <w:p w14:paraId="6A40A10E" w14:textId="77777777" w:rsidR="00E12662" w:rsidRPr="00A13006" w:rsidRDefault="00E12662" w:rsidP="00AF3B53">
            <w:pPr>
              <w:spacing w:after="80" w:line="240" w:lineRule="auto"/>
              <w:jc w:val="center"/>
              <w:rPr>
                <w:rFonts w:cs="Arial"/>
                <w:sz w:val="20"/>
                <w:szCs w:val="18"/>
                <w:lang w:eastAsia="en-AU"/>
              </w:rPr>
            </w:pPr>
            <w:r w:rsidRPr="00A13006">
              <w:rPr>
                <w:rFonts w:cs="Arial"/>
                <w:sz w:val="20"/>
                <w:szCs w:val="18"/>
                <w:lang w:eastAsia="en-AU"/>
              </w:rPr>
              <w:t>Hidden costs</w:t>
            </w:r>
          </w:p>
        </w:tc>
        <w:tc>
          <w:tcPr>
            <w:tcW w:w="2409" w:type="dxa"/>
            <w:tcBorders>
              <w:top w:val="single" w:sz="4" w:space="0" w:color="FFFFFF" w:themeColor="background1"/>
              <w:bottom w:val="single" w:sz="12" w:space="0" w:color="004B88" w:themeColor="text2"/>
            </w:tcBorders>
            <w:shd w:val="clear" w:color="auto" w:fill="DDE0E7"/>
          </w:tcPr>
          <w:p w14:paraId="4C6F95B0" w14:textId="77777777" w:rsidR="00E12662" w:rsidRPr="00A13006" w:rsidRDefault="00E12662" w:rsidP="00AF3B53">
            <w:pPr>
              <w:spacing w:after="80" w:line="240" w:lineRule="auto"/>
              <w:jc w:val="center"/>
              <w:rPr>
                <w:rFonts w:cs="Arial"/>
                <w:sz w:val="20"/>
                <w:szCs w:val="18"/>
                <w:lang w:eastAsia="en-AU"/>
              </w:rPr>
            </w:pPr>
            <w:r w:rsidRPr="00A13006">
              <w:rPr>
                <w:rFonts w:cs="Arial"/>
                <w:sz w:val="20"/>
                <w:szCs w:val="18"/>
                <w:lang w:eastAsia="en-AU"/>
              </w:rPr>
              <w:t>Hidden costs</w:t>
            </w:r>
          </w:p>
        </w:tc>
      </w:tr>
    </w:tbl>
    <w:p w14:paraId="5C68DFD9" w14:textId="5BABEE4E" w:rsidR="00E12662" w:rsidRPr="006231D9" w:rsidRDefault="00E12662" w:rsidP="00E12662">
      <w:pPr>
        <w:pStyle w:val="-Normal-"/>
      </w:pPr>
      <w:r w:rsidRPr="00616BB1">
        <w:t xml:space="preserve">For </w:t>
      </w:r>
      <w:r>
        <w:t xml:space="preserve">additional </w:t>
      </w:r>
      <w:r w:rsidRPr="00616BB1">
        <w:t xml:space="preserve">guidance on financial considerations refer </w:t>
      </w:r>
      <w:r w:rsidRPr="006231D9">
        <w:t xml:space="preserve">to </w:t>
      </w:r>
      <w:hyperlink r:id="rId13" w:history="1">
        <w:r w:rsidRPr="00710B59">
          <w:rPr>
            <w:rStyle w:val="Hyperlink"/>
            <w:u w:val="single"/>
          </w:rPr>
          <w:t>Cloud Financial Guideline</w:t>
        </w:r>
      </w:hyperlink>
      <w:r w:rsidRPr="006231D9">
        <w:rPr>
          <w:i/>
        </w:rPr>
        <w:t>.</w:t>
      </w:r>
    </w:p>
    <w:p w14:paraId="3E607980" w14:textId="77777777" w:rsidR="00E12662" w:rsidRDefault="00E12662" w:rsidP="00E12662">
      <w:pPr>
        <w:pStyle w:val="Heading2"/>
      </w:pPr>
      <w:r>
        <w:lastRenderedPageBreak/>
        <w:t>Procurement</w:t>
      </w:r>
    </w:p>
    <w:p w14:paraId="1621EC09" w14:textId="77777777" w:rsidR="00E12662" w:rsidRDefault="00E12662" w:rsidP="00E12662">
      <w:pPr>
        <w:pStyle w:val="-Normal-"/>
      </w:pPr>
      <w:r>
        <w:t>Normal requirements apply, including compliance with existing government procurement standards. However, applying an agile, minimum viable product approach may lessen the time and expense of an otherwise traditional large-scale procurement.</w:t>
      </w:r>
    </w:p>
    <w:p w14:paraId="2E68C227" w14:textId="0E72EE0B" w:rsidR="00E12662" w:rsidRPr="00106306" w:rsidRDefault="00E12662" w:rsidP="00E12662">
      <w:pPr>
        <w:pStyle w:val="Heading2"/>
      </w:pPr>
      <w:r>
        <w:t xml:space="preserve">Contractual </w:t>
      </w:r>
      <w:r w:rsidR="00AB7D4D">
        <w:t>t</w:t>
      </w:r>
      <w:r>
        <w:t>erms</w:t>
      </w:r>
    </w:p>
    <w:p w14:paraId="03ED2471" w14:textId="77777777" w:rsidR="00E12662" w:rsidRDefault="00E12662" w:rsidP="00E12662">
      <w:pPr>
        <w:pStyle w:val="-Normal-"/>
      </w:pPr>
      <w:r>
        <w:t>C</w:t>
      </w:r>
      <w:r w:rsidRPr="0020054F">
        <w:t xml:space="preserve">onsider </w:t>
      </w:r>
      <w:r>
        <w:t>your agency’s</w:t>
      </w:r>
      <w:r w:rsidRPr="0020054F">
        <w:t xml:space="preserve"> contractual </w:t>
      </w:r>
      <w:r>
        <w:t>approach and needs</w:t>
      </w:r>
      <w:r w:rsidRPr="0020054F">
        <w:t xml:space="preserve"> </w:t>
      </w:r>
      <w:r>
        <w:t>before approaching the market.</w:t>
      </w:r>
    </w:p>
    <w:p w14:paraId="3B9BC776" w14:textId="77777777" w:rsidR="00E12662" w:rsidRDefault="00E12662" w:rsidP="00E12662">
      <w:pPr>
        <w:pStyle w:val="-Normal-"/>
      </w:pPr>
      <w:r>
        <w:t>Due to the (commodity) nature of their services, many c</w:t>
      </w:r>
      <w:r w:rsidRPr="0020054F">
        <w:t>loud providers will h</w:t>
      </w:r>
      <w:r>
        <w:t>ave standard ‘set’ agreements. Being clear up front about</w:t>
      </w:r>
      <w:r w:rsidRPr="0020054F">
        <w:t xml:space="preserve"> </w:t>
      </w:r>
      <w:r>
        <w:t>your contractual</w:t>
      </w:r>
      <w:r w:rsidRPr="0020054F">
        <w:t xml:space="preserve"> requirements will provide a starting point for negotiating terms and </w:t>
      </w:r>
      <w:r>
        <w:t>conditions</w:t>
      </w:r>
      <w:r w:rsidRPr="0020054F">
        <w:t>.</w:t>
      </w:r>
    </w:p>
    <w:p w14:paraId="623FCD7C" w14:textId="77777777" w:rsidR="00E12662" w:rsidRPr="0020054F" w:rsidRDefault="00E12662" w:rsidP="00E12662">
      <w:pPr>
        <w:pStyle w:val="-Normal-"/>
      </w:pPr>
      <w:r>
        <w:t>Careful evaluation of cloud provider contract terms is essential, including where the data is stored, provisions for reclaiming data from the provider, ownership and use of the data, and confirmation that the contract is agreed under Australian jurisdictional laws.</w:t>
      </w:r>
    </w:p>
    <w:p w14:paraId="44BB0329" w14:textId="5635F2D7" w:rsidR="00E12662" w:rsidRPr="00106306" w:rsidRDefault="00E12662" w:rsidP="00E12662">
      <w:pPr>
        <w:pStyle w:val="Heading2"/>
      </w:pPr>
      <w:r>
        <w:t xml:space="preserve">Exit </w:t>
      </w:r>
      <w:r w:rsidR="00AB7D4D">
        <w:t>s</w:t>
      </w:r>
      <w:r>
        <w:t>trategy</w:t>
      </w:r>
    </w:p>
    <w:p w14:paraId="55751210" w14:textId="77777777" w:rsidR="00E12662" w:rsidRDefault="00E12662" w:rsidP="00E12662">
      <w:pPr>
        <w:pStyle w:val="-Normal-"/>
      </w:pPr>
      <w:r>
        <w:t>Ensure you have adequate contingency plans in case you, or other parties, need to terminate the service. Your plan will need to</w:t>
      </w:r>
      <w:r w:rsidRPr="0020054F">
        <w:t xml:space="preserve"> address </w:t>
      </w:r>
      <w:r>
        <w:t>likely business scenarios and should cover elements such as:</w:t>
      </w:r>
    </w:p>
    <w:p w14:paraId="0742C54F" w14:textId="77777777" w:rsidR="00E12662" w:rsidRPr="00710B59" w:rsidRDefault="00E12662" w:rsidP="00710B59">
      <w:pPr>
        <w:pStyle w:val="ListParagraph"/>
        <w:rPr>
          <w:u w:val="none"/>
        </w:rPr>
      </w:pPr>
      <w:r w:rsidRPr="00710B59">
        <w:rPr>
          <w:u w:val="none"/>
        </w:rPr>
        <w:t>business continuity</w:t>
      </w:r>
    </w:p>
    <w:p w14:paraId="279824D8" w14:textId="77777777" w:rsidR="00E12662" w:rsidRPr="00710B59" w:rsidRDefault="00E12662" w:rsidP="00710B59">
      <w:pPr>
        <w:pStyle w:val="ListParagraph"/>
        <w:rPr>
          <w:u w:val="none"/>
        </w:rPr>
      </w:pPr>
      <w:r w:rsidRPr="00710B59">
        <w:rPr>
          <w:u w:val="none"/>
        </w:rPr>
        <w:t>the frequency of regular back ups</w:t>
      </w:r>
    </w:p>
    <w:p w14:paraId="12CA2E57" w14:textId="77777777" w:rsidR="00E12662" w:rsidRPr="00710B59" w:rsidRDefault="00E12662" w:rsidP="00710B59">
      <w:pPr>
        <w:pStyle w:val="ListParagraph"/>
        <w:rPr>
          <w:u w:val="none"/>
        </w:rPr>
      </w:pPr>
      <w:r w:rsidRPr="00710B59">
        <w:rPr>
          <w:u w:val="none"/>
        </w:rPr>
        <w:t>migration of data to another solution</w:t>
      </w:r>
    </w:p>
    <w:p w14:paraId="71607819" w14:textId="77777777" w:rsidR="00E12662" w:rsidRPr="00710B59" w:rsidRDefault="00E12662" w:rsidP="00710B59">
      <w:pPr>
        <w:pStyle w:val="ListParagraph"/>
        <w:rPr>
          <w:u w:val="none"/>
        </w:rPr>
      </w:pPr>
      <w:r w:rsidRPr="00710B59">
        <w:rPr>
          <w:u w:val="none"/>
        </w:rPr>
        <w:t xml:space="preserve">exit costs </w:t>
      </w:r>
    </w:p>
    <w:p w14:paraId="1CEC55A3" w14:textId="77777777" w:rsidR="00E12662" w:rsidRPr="00710B59" w:rsidRDefault="00E12662" w:rsidP="00710B59">
      <w:pPr>
        <w:pStyle w:val="ListParagraph"/>
        <w:rPr>
          <w:u w:val="none"/>
        </w:rPr>
      </w:pPr>
      <w:r w:rsidRPr="00710B59">
        <w:rPr>
          <w:u w:val="none"/>
        </w:rPr>
        <w:t>damages.</w:t>
      </w:r>
    </w:p>
    <w:p w14:paraId="319E201D" w14:textId="77777777" w:rsidR="00E12662" w:rsidRPr="0020054F" w:rsidRDefault="00E12662" w:rsidP="00E12662">
      <w:pPr>
        <w:pStyle w:val="-Normal-"/>
      </w:pPr>
      <w:r>
        <w:t>For PaaS or IaaS models it should investigate the ability to move an application to another vendor or in-house.</w:t>
      </w:r>
    </w:p>
    <w:p w14:paraId="1A42C078" w14:textId="77777777" w:rsidR="00E12662" w:rsidRPr="005D37A9" w:rsidRDefault="00E12662" w:rsidP="00E12662">
      <w:pPr>
        <w:pStyle w:val="Heading2"/>
      </w:pPr>
      <w:r>
        <w:t>Service Level Agreements</w:t>
      </w:r>
    </w:p>
    <w:p w14:paraId="0DDE7D76" w14:textId="77777777" w:rsidR="00E12662" w:rsidRDefault="00E12662" w:rsidP="00E12662">
      <w:pPr>
        <w:pStyle w:val="-Normal-"/>
      </w:pPr>
      <w:r>
        <w:t xml:space="preserve">Depending on the cloud service model selected, </w:t>
      </w:r>
      <w:r w:rsidRPr="00295E4D">
        <w:t>the amount of con</w:t>
      </w:r>
      <w:r>
        <w:t>trol you have over your services may vary.</w:t>
      </w:r>
    </w:p>
    <w:p w14:paraId="2B7FBE62" w14:textId="77777777" w:rsidR="00E12662" w:rsidRPr="00295E4D" w:rsidRDefault="00E12662" w:rsidP="00E12662">
      <w:pPr>
        <w:pStyle w:val="-Normal-"/>
      </w:pPr>
      <w:r>
        <w:t xml:space="preserve">Expected levels of </w:t>
      </w:r>
      <w:r w:rsidRPr="00295E4D">
        <w:t>responsiveness, throughput</w:t>
      </w:r>
      <w:r>
        <w:t xml:space="preserve">, availability and reliability, and </w:t>
      </w:r>
      <w:r w:rsidRPr="00295E4D">
        <w:t>redundancy</w:t>
      </w:r>
      <w:r>
        <w:t xml:space="preserve"> should all be part of the Service Level Agreement (SLA) with the cloud services vendor</w:t>
      </w:r>
      <w:r w:rsidRPr="00295E4D">
        <w:t>.</w:t>
      </w:r>
    </w:p>
    <w:p w14:paraId="5EB77703" w14:textId="77777777" w:rsidR="00E12662" w:rsidRDefault="00E12662" w:rsidP="00E12662">
      <w:pPr>
        <w:pStyle w:val="-Normal-"/>
      </w:pPr>
      <w:r>
        <w:t xml:space="preserve">You </w:t>
      </w:r>
      <w:r w:rsidRPr="00295E4D">
        <w:t xml:space="preserve">should confirm that the SLA </w:t>
      </w:r>
      <w:r>
        <w:t>address</w:t>
      </w:r>
      <w:r w:rsidRPr="00295E4D">
        <w:t>es adequate system availability</w:t>
      </w:r>
      <w:r>
        <w:t>, downtimes and scheduled outages, and that these</w:t>
      </w:r>
      <w:r w:rsidRPr="00295E4D">
        <w:t xml:space="preserve"> are acceptable in terms of timing and duration to support business processes.</w:t>
      </w:r>
    </w:p>
    <w:p w14:paraId="3F5D9DE2" w14:textId="77777777" w:rsidR="00E12662" w:rsidRDefault="00E12662" w:rsidP="00E12662">
      <w:pPr>
        <w:pStyle w:val="-Normal-"/>
      </w:pPr>
      <w:r>
        <w:t>The SLA should also consider the availability and flexibility of support arrangements. For example, can the vendor increase the level of resources at short notice?</w:t>
      </w:r>
    </w:p>
    <w:p w14:paraId="057EC13F" w14:textId="77777777" w:rsidR="00E12662" w:rsidRDefault="00E12662" w:rsidP="00E12662">
      <w:pPr>
        <w:spacing w:after="0" w:line="240" w:lineRule="auto"/>
        <w:rPr>
          <w:rFonts w:eastAsiaTheme="majorEastAsia" w:cstheme="majorBidi"/>
          <w:b/>
          <w:color w:val="000000" w:themeColor="text1"/>
          <w:szCs w:val="26"/>
        </w:rPr>
      </w:pPr>
      <w:r>
        <w:br w:type="page"/>
      </w:r>
    </w:p>
    <w:p w14:paraId="6AC82EB4" w14:textId="2CF9228C" w:rsidR="00E12662" w:rsidRPr="00F20B1A" w:rsidRDefault="00E12662" w:rsidP="00E12662">
      <w:pPr>
        <w:pStyle w:val="Heading2"/>
      </w:pPr>
      <w:r>
        <w:lastRenderedPageBreak/>
        <w:t xml:space="preserve">Business </w:t>
      </w:r>
      <w:r w:rsidR="00662B3D">
        <w:t>p</w:t>
      </w:r>
      <w:r>
        <w:t xml:space="preserve">rocess </w:t>
      </w:r>
      <w:r w:rsidR="00662B3D">
        <w:t>i</w:t>
      </w:r>
      <w:r>
        <w:t xml:space="preserve">mpacts </w:t>
      </w:r>
      <w:r w:rsidR="00566BCB">
        <w:t>and</w:t>
      </w:r>
      <w:r>
        <w:t xml:space="preserve"> </w:t>
      </w:r>
      <w:r w:rsidR="00662B3D">
        <w:t>c</w:t>
      </w:r>
      <w:r>
        <w:t xml:space="preserve">hange </w:t>
      </w:r>
      <w:r w:rsidR="00662B3D">
        <w:t>m</w:t>
      </w:r>
      <w:r>
        <w:t>anagement</w:t>
      </w:r>
    </w:p>
    <w:p w14:paraId="1CB49EA9" w14:textId="77777777" w:rsidR="00E12662" w:rsidRDefault="00E12662" w:rsidP="00E12662">
      <w:pPr>
        <w:pStyle w:val="-Normal-"/>
      </w:pPr>
      <w:r>
        <w:t>It is difficult to imagine a service transformation project that would not need a concerted change management program.</w:t>
      </w:r>
    </w:p>
    <w:p w14:paraId="58378931" w14:textId="77777777" w:rsidR="00E12662" w:rsidRDefault="00E12662" w:rsidP="00E12662">
      <w:pPr>
        <w:pStyle w:val="-Normal-"/>
      </w:pPr>
      <w:r>
        <w:t>You will need to understand the business as well as the technological impact of cloud opportunities.</w:t>
      </w:r>
    </w:p>
    <w:p w14:paraId="659707CC" w14:textId="77777777" w:rsidR="00E12662" w:rsidRDefault="00E12662" w:rsidP="00E12662">
      <w:pPr>
        <w:pStyle w:val="-Normal-"/>
      </w:pPr>
      <w:r>
        <w:t>Some aspects that may change or cause concern to stakeholders, include:</w:t>
      </w:r>
    </w:p>
    <w:p w14:paraId="6E1305A2" w14:textId="77777777" w:rsidR="00E12662" w:rsidRPr="00710B59" w:rsidRDefault="00E12662" w:rsidP="00710B59">
      <w:pPr>
        <w:pStyle w:val="ListParagraph"/>
        <w:rPr>
          <w:u w:val="none"/>
        </w:rPr>
      </w:pPr>
      <w:r w:rsidRPr="00710B59">
        <w:rPr>
          <w:u w:val="none"/>
        </w:rPr>
        <w:t>how enterprise information is managed and stored</w:t>
      </w:r>
    </w:p>
    <w:p w14:paraId="6ACC0099" w14:textId="77777777" w:rsidR="00E12662" w:rsidRPr="00710B59" w:rsidRDefault="00E12662" w:rsidP="00710B59">
      <w:pPr>
        <w:pStyle w:val="ListParagraph"/>
        <w:rPr>
          <w:u w:val="none"/>
        </w:rPr>
      </w:pPr>
      <w:r w:rsidRPr="00710B59">
        <w:rPr>
          <w:u w:val="none"/>
        </w:rPr>
        <w:t>shifting staff roles and skills</w:t>
      </w:r>
    </w:p>
    <w:p w14:paraId="2F3FEB63" w14:textId="77777777" w:rsidR="00E12662" w:rsidRPr="00710B59" w:rsidRDefault="00E12662" w:rsidP="00710B59">
      <w:pPr>
        <w:pStyle w:val="ListParagraph"/>
        <w:rPr>
          <w:u w:val="none"/>
        </w:rPr>
      </w:pPr>
      <w:r w:rsidRPr="00710B59">
        <w:rPr>
          <w:u w:val="none"/>
        </w:rPr>
        <w:t>relationships with and dependence on vendors and other third parties</w:t>
      </w:r>
    </w:p>
    <w:p w14:paraId="42360DE8" w14:textId="77777777" w:rsidR="00E12662" w:rsidRPr="00710B59" w:rsidRDefault="00E12662" w:rsidP="00710B59">
      <w:pPr>
        <w:pStyle w:val="ListParagraph"/>
        <w:rPr>
          <w:u w:val="none"/>
        </w:rPr>
      </w:pPr>
      <w:r w:rsidRPr="00710B59">
        <w:rPr>
          <w:u w:val="none"/>
        </w:rPr>
        <w:t>reduction of control over services</w:t>
      </w:r>
    </w:p>
    <w:p w14:paraId="2EC04810" w14:textId="77777777" w:rsidR="00E12662" w:rsidRPr="00710B59" w:rsidRDefault="00E12662" w:rsidP="00710B59">
      <w:pPr>
        <w:pStyle w:val="ListParagraph"/>
        <w:rPr>
          <w:u w:val="none"/>
        </w:rPr>
      </w:pPr>
      <w:r w:rsidRPr="00710B59">
        <w:rPr>
          <w:u w:val="none"/>
        </w:rPr>
        <w:t>customer service/quality</w:t>
      </w:r>
    </w:p>
    <w:p w14:paraId="21994BEE" w14:textId="77777777" w:rsidR="00E12662" w:rsidRPr="00710B59" w:rsidRDefault="00E12662" w:rsidP="00710B59">
      <w:pPr>
        <w:pStyle w:val="ListParagraph"/>
        <w:rPr>
          <w:u w:val="none"/>
        </w:rPr>
      </w:pPr>
      <w:r w:rsidRPr="00710B59">
        <w:rPr>
          <w:u w:val="none"/>
        </w:rPr>
        <w:t>privacy and/or compliance concerns.</w:t>
      </w:r>
    </w:p>
    <w:p w14:paraId="1102B332" w14:textId="77777777" w:rsidR="00E12662" w:rsidRDefault="00E12662" w:rsidP="00E12662">
      <w:pPr>
        <w:pStyle w:val="-Normal-"/>
      </w:pPr>
      <w:r>
        <w:t>A good change management program based on keeping stakeholders actively informed and addressing their concerns will improve the likelihood of success of service transformation.</w:t>
      </w:r>
    </w:p>
    <w:p w14:paraId="2FA12E73" w14:textId="30FC11D0" w:rsidR="00E12662" w:rsidRDefault="00E12662" w:rsidP="00E12662">
      <w:pPr>
        <w:pStyle w:val="-Normal-"/>
      </w:pPr>
      <w:r>
        <w:t xml:space="preserve">There are a range of tools that can assist you with engagement, including </w:t>
      </w:r>
      <w:hyperlink r:id="rId14" w:history="1">
        <w:r w:rsidRPr="00710B59">
          <w:rPr>
            <w:rStyle w:val="Hyperlink"/>
            <w:u w:val="single"/>
          </w:rPr>
          <w:t>Better Together: Principles of Engagement</w:t>
        </w:r>
      </w:hyperlink>
      <w:r>
        <w:t xml:space="preserve"> and </w:t>
      </w:r>
      <w:r w:rsidRPr="00B21C3A">
        <w:t xml:space="preserve">the </w:t>
      </w:r>
      <w:hyperlink r:id="rId15" w:history="1">
        <w:r w:rsidRPr="00B21C3A">
          <w:rPr>
            <w:rStyle w:val="Hyperlink"/>
            <w:u w:val="single"/>
          </w:rPr>
          <w:t>User Centred Design Toolkit</w:t>
        </w:r>
      </w:hyperlink>
      <w:r w:rsidRPr="00B21C3A">
        <w:t>.</w:t>
      </w:r>
    </w:p>
    <w:p w14:paraId="557FCED6" w14:textId="2A25253D" w:rsidR="00E12662" w:rsidRPr="00106306" w:rsidRDefault="00E12662" w:rsidP="00E12662">
      <w:pPr>
        <w:pStyle w:val="Heading2"/>
      </w:pPr>
      <w:r>
        <w:t xml:space="preserve">Skills </w:t>
      </w:r>
      <w:r w:rsidR="007C38B8">
        <w:t>c</w:t>
      </w:r>
      <w:r>
        <w:t>apability</w:t>
      </w:r>
    </w:p>
    <w:p w14:paraId="232ED883" w14:textId="77777777" w:rsidR="00E12662" w:rsidRPr="00847CD4" w:rsidRDefault="00E12662" w:rsidP="00E12662">
      <w:pPr>
        <w:rPr>
          <w:lang w:val="en-US"/>
        </w:rPr>
      </w:pPr>
      <w:r w:rsidRPr="00847CD4">
        <w:rPr>
          <w:lang w:val="en-US"/>
        </w:rPr>
        <w:t xml:space="preserve">Developing and implementing cloud services requires </w:t>
      </w:r>
      <w:r>
        <w:rPr>
          <w:lang w:val="en-US"/>
        </w:rPr>
        <w:t>a greater focus on service</w:t>
      </w:r>
      <w:r w:rsidRPr="00847CD4">
        <w:rPr>
          <w:lang w:val="en-US"/>
        </w:rPr>
        <w:t xml:space="preserve"> skills. These include:</w:t>
      </w:r>
    </w:p>
    <w:p w14:paraId="5734DB3A" w14:textId="77777777" w:rsidR="00E12662" w:rsidRPr="00710B59" w:rsidRDefault="00E12662" w:rsidP="00710B59">
      <w:pPr>
        <w:pStyle w:val="ListParagraph"/>
        <w:rPr>
          <w:u w:val="none"/>
        </w:rPr>
      </w:pPr>
      <w:r w:rsidRPr="00710B59">
        <w:rPr>
          <w:u w:val="none"/>
        </w:rPr>
        <w:t>project and program management</w:t>
      </w:r>
    </w:p>
    <w:p w14:paraId="21CB1E68" w14:textId="77777777" w:rsidR="00E12662" w:rsidRPr="00710B59" w:rsidRDefault="00E12662" w:rsidP="00710B59">
      <w:pPr>
        <w:pStyle w:val="ListParagraph"/>
        <w:rPr>
          <w:u w:val="none"/>
        </w:rPr>
      </w:pPr>
      <w:r w:rsidRPr="00710B59">
        <w:rPr>
          <w:u w:val="none"/>
        </w:rPr>
        <w:t>business analysis</w:t>
      </w:r>
    </w:p>
    <w:p w14:paraId="085A498F" w14:textId="77777777" w:rsidR="00E12662" w:rsidRPr="00710B59" w:rsidRDefault="00E12662" w:rsidP="00710B59">
      <w:pPr>
        <w:pStyle w:val="ListParagraph"/>
        <w:rPr>
          <w:u w:val="none"/>
        </w:rPr>
      </w:pPr>
      <w:r w:rsidRPr="00710B59">
        <w:rPr>
          <w:u w:val="none"/>
        </w:rPr>
        <w:t>architecture design and management</w:t>
      </w:r>
    </w:p>
    <w:p w14:paraId="0AC4BB42" w14:textId="77777777" w:rsidR="00E12662" w:rsidRPr="00710B59" w:rsidRDefault="00E12662" w:rsidP="00710B59">
      <w:pPr>
        <w:pStyle w:val="ListParagraph"/>
        <w:rPr>
          <w:u w:val="none"/>
        </w:rPr>
      </w:pPr>
      <w:r w:rsidRPr="00710B59">
        <w:rPr>
          <w:u w:val="none"/>
        </w:rPr>
        <w:t>procurement management</w:t>
      </w:r>
    </w:p>
    <w:p w14:paraId="38509151" w14:textId="77777777" w:rsidR="00E12662" w:rsidRPr="00710B59" w:rsidRDefault="00E12662" w:rsidP="00710B59">
      <w:pPr>
        <w:pStyle w:val="ListParagraph"/>
        <w:rPr>
          <w:u w:val="none"/>
        </w:rPr>
      </w:pPr>
      <w:r w:rsidRPr="00710B59">
        <w:rPr>
          <w:u w:val="none"/>
        </w:rPr>
        <w:t>contract management</w:t>
      </w:r>
    </w:p>
    <w:p w14:paraId="05E3AF10" w14:textId="77777777" w:rsidR="00E12662" w:rsidRPr="00710B59" w:rsidRDefault="00E12662" w:rsidP="00710B59">
      <w:pPr>
        <w:pStyle w:val="ListParagraph"/>
        <w:rPr>
          <w:u w:val="none"/>
        </w:rPr>
      </w:pPr>
      <w:r w:rsidRPr="00710B59">
        <w:rPr>
          <w:u w:val="none"/>
        </w:rPr>
        <w:t>relationship management</w:t>
      </w:r>
    </w:p>
    <w:p w14:paraId="0ABFBC1A" w14:textId="77777777" w:rsidR="00E12662" w:rsidRPr="00710B59" w:rsidRDefault="00E12662" w:rsidP="00710B59">
      <w:pPr>
        <w:pStyle w:val="ListParagraph"/>
        <w:rPr>
          <w:u w:val="none"/>
        </w:rPr>
      </w:pPr>
      <w:r w:rsidRPr="00710B59">
        <w:rPr>
          <w:u w:val="none"/>
        </w:rPr>
        <w:t>service design and service management.</w:t>
      </w:r>
    </w:p>
    <w:p w14:paraId="789FE944" w14:textId="77777777" w:rsidR="00E12662" w:rsidRDefault="00E12662" w:rsidP="00E12662">
      <w:pPr>
        <w:pStyle w:val="-Normal-"/>
      </w:pPr>
      <w:r w:rsidRPr="00847CD4">
        <w:t>Plan</w:t>
      </w:r>
      <w:r>
        <w:t xml:space="preserve"> </w:t>
      </w:r>
      <w:r w:rsidRPr="00847CD4">
        <w:t>for sufficient</w:t>
      </w:r>
      <w:r>
        <w:t xml:space="preserve"> </w:t>
      </w:r>
      <w:r w:rsidRPr="00847CD4">
        <w:t>resources to</w:t>
      </w:r>
      <w:r>
        <w:t xml:space="preserve"> </w:t>
      </w:r>
      <w:r w:rsidRPr="00847CD4">
        <w:t>fill management roles</w:t>
      </w:r>
      <w:r>
        <w:t xml:space="preserve"> </w:t>
      </w:r>
      <w:r w:rsidRPr="00847CD4">
        <w:t>that will oversee</w:t>
      </w:r>
      <w:r>
        <w:t xml:space="preserve"> activities such as </w:t>
      </w:r>
      <w:r w:rsidRPr="00847CD4">
        <w:t>testing and ongoing operations</w:t>
      </w:r>
      <w:r>
        <w:t>. Other technical skills such as database management and configuration management may be provided by the vendor or may remain in-house.</w:t>
      </w:r>
    </w:p>
    <w:p w14:paraId="29C4BBE8" w14:textId="77777777" w:rsidR="00E12662" w:rsidRPr="00847CD4" w:rsidRDefault="00E12662" w:rsidP="00E12662">
      <w:pPr>
        <w:pStyle w:val="-Normal-"/>
      </w:pPr>
      <w:r>
        <w:t>I</w:t>
      </w:r>
      <w:r w:rsidRPr="00847CD4">
        <w:t>f you do not have the</w:t>
      </w:r>
      <w:r>
        <w:t xml:space="preserve"> required</w:t>
      </w:r>
      <w:r w:rsidRPr="00847CD4">
        <w:t xml:space="preserve"> skills</w:t>
      </w:r>
      <w:r>
        <w:t xml:space="preserve"> </w:t>
      </w:r>
      <w:r w:rsidRPr="00847CD4">
        <w:t>available in-house, consider training staff</w:t>
      </w:r>
      <w:r>
        <w:t xml:space="preserve"> o</w:t>
      </w:r>
      <w:r w:rsidRPr="00847CD4">
        <w:t>r contract the skills in</w:t>
      </w:r>
      <w:r>
        <w:t>,</w:t>
      </w:r>
      <w:r w:rsidRPr="00847CD4">
        <w:t xml:space="preserve"> but</w:t>
      </w:r>
      <w:r>
        <w:t xml:space="preserve"> </w:t>
      </w:r>
      <w:r w:rsidRPr="00847CD4">
        <w:t xml:space="preserve">make sure </w:t>
      </w:r>
      <w:r>
        <w:t>skills are</w:t>
      </w:r>
      <w:r w:rsidRPr="00847CD4">
        <w:t xml:space="preserve"> transfer</w:t>
      </w:r>
      <w:r>
        <w:t>red</w:t>
      </w:r>
      <w:r w:rsidRPr="00847CD4">
        <w:t xml:space="preserve"> to staff</w:t>
      </w:r>
      <w:r>
        <w:t xml:space="preserve">. </w:t>
      </w:r>
      <w:r w:rsidRPr="00847CD4">
        <w:t>Include these costs in y</w:t>
      </w:r>
      <w:r>
        <w:t>our business case calculations.</w:t>
      </w:r>
    </w:p>
    <w:p w14:paraId="02B3F8E8" w14:textId="77777777" w:rsidR="00E12662" w:rsidRDefault="00E12662">
      <w:pPr>
        <w:spacing w:after="0" w:line="240" w:lineRule="auto"/>
        <w:rPr>
          <w:rFonts w:eastAsiaTheme="majorEastAsia" w:cstheme="majorBidi"/>
          <w:b/>
          <w:color w:val="000000" w:themeColor="text1"/>
          <w:szCs w:val="26"/>
        </w:rPr>
      </w:pPr>
      <w:r>
        <w:br w:type="page"/>
      </w:r>
    </w:p>
    <w:p w14:paraId="7B6983D3" w14:textId="4D243FE4" w:rsidR="00E12662" w:rsidRPr="00106306" w:rsidRDefault="00E12662" w:rsidP="00E12662">
      <w:pPr>
        <w:pStyle w:val="Heading2"/>
      </w:pPr>
      <w:r>
        <w:lastRenderedPageBreak/>
        <w:t>Governance</w:t>
      </w:r>
    </w:p>
    <w:p w14:paraId="19F33FF9" w14:textId="77777777" w:rsidR="00E12662" w:rsidRDefault="00E12662" w:rsidP="00E12662">
      <w:pPr>
        <w:pStyle w:val="-Normal-"/>
      </w:pPr>
      <w:r>
        <w:t>Consider existing governance frameworks and arrangements to ensure that the structure, responsibilities and controls for the project and ongoing services are adequate. It is likely that cloud services may need new roles and responsibilities that have not traditionally been in place.</w:t>
      </w:r>
    </w:p>
    <w:p w14:paraId="23E9F2EC" w14:textId="77777777" w:rsidR="00E12662" w:rsidRDefault="00E12662" w:rsidP="00E12662">
      <w:pPr>
        <w:pStyle w:val="-Normal-"/>
      </w:pPr>
      <w:r>
        <w:t>It is critical to ensure management of ongoing costs as it is easy for these costs to escalate if controls are not in place.</w:t>
      </w:r>
    </w:p>
    <w:p w14:paraId="61191BCD" w14:textId="77777777" w:rsidR="00E12662" w:rsidRDefault="00E12662" w:rsidP="00E12662">
      <w:pPr>
        <w:pStyle w:val="-Normal-"/>
      </w:pPr>
      <w:r>
        <w:t>Governance should consider six areas – accountability, transparency, integrity, stewardship, efficiency and leadership.</w:t>
      </w:r>
    </w:p>
    <w:p w14:paraId="1B4C8009" w14:textId="185621E6" w:rsidR="00E12662" w:rsidRDefault="00E12662" w:rsidP="00E12662">
      <w:pPr>
        <w:pStyle w:val="Heading2"/>
      </w:pPr>
      <w:r>
        <w:t xml:space="preserve">Management and </w:t>
      </w:r>
      <w:r w:rsidR="00920F4C">
        <w:t>m</w:t>
      </w:r>
      <w:r>
        <w:t>onitoring</w:t>
      </w:r>
    </w:p>
    <w:p w14:paraId="60D896B6" w14:textId="77777777" w:rsidR="00E12662" w:rsidRDefault="00E12662" w:rsidP="00E12662">
      <w:pPr>
        <w:pStyle w:val="-Normal-"/>
      </w:pPr>
      <w:r>
        <w:t>C</w:t>
      </w:r>
      <w:r w:rsidRPr="00B35EE0">
        <w:t>onsider the extent t</w:t>
      </w:r>
      <w:r>
        <w:t>o which you will be able to monitor the c</w:t>
      </w:r>
      <w:r w:rsidRPr="00B35EE0">
        <w:t xml:space="preserve">loud services </w:t>
      </w:r>
      <w:r>
        <w:t xml:space="preserve">versus </w:t>
      </w:r>
      <w:r w:rsidRPr="00B35EE0">
        <w:t>how much the vendor may monitor, administer or manage hardware, software and data</w:t>
      </w:r>
      <w:r>
        <w:t>.</w:t>
      </w:r>
    </w:p>
    <w:p w14:paraId="701A9BDB" w14:textId="77777777" w:rsidR="00E12662" w:rsidRDefault="00E12662" w:rsidP="00E12662">
      <w:pPr>
        <w:pStyle w:val="-Normal-"/>
      </w:pPr>
      <w:r>
        <w:t>Will you have the ability and capability to:</w:t>
      </w:r>
    </w:p>
    <w:p w14:paraId="47DA154C" w14:textId="77777777" w:rsidR="00E12662" w:rsidRPr="00710B59" w:rsidRDefault="00E12662" w:rsidP="00710B59">
      <w:pPr>
        <w:pStyle w:val="ListParagraph"/>
        <w:rPr>
          <w:u w:val="none"/>
        </w:rPr>
      </w:pPr>
      <w:r w:rsidRPr="00710B59">
        <w:rPr>
          <w:u w:val="none"/>
        </w:rPr>
        <w:t>use your/their tools for integrity and security checking and for network management?</w:t>
      </w:r>
    </w:p>
    <w:p w14:paraId="146FDE74" w14:textId="77777777" w:rsidR="00E12662" w:rsidRPr="00710B59" w:rsidRDefault="00E12662" w:rsidP="00710B59">
      <w:pPr>
        <w:pStyle w:val="ListParagraph"/>
        <w:rPr>
          <w:u w:val="none"/>
        </w:rPr>
      </w:pPr>
      <w:r w:rsidRPr="00710B59">
        <w:rPr>
          <w:u w:val="none"/>
        </w:rPr>
        <w:t>manage faults and fault response activity around incidents and service disruption?</w:t>
      </w:r>
    </w:p>
    <w:p w14:paraId="22B5B374" w14:textId="77777777" w:rsidR="00E12662" w:rsidRPr="00710B59" w:rsidRDefault="00E12662" w:rsidP="00710B59">
      <w:pPr>
        <w:pStyle w:val="ListParagraph"/>
        <w:rPr>
          <w:u w:val="none"/>
        </w:rPr>
      </w:pPr>
      <w:r w:rsidRPr="00710B59">
        <w:rPr>
          <w:u w:val="none"/>
        </w:rPr>
        <w:t>analyse, plan and implement configuration changes?</w:t>
      </w:r>
    </w:p>
    <w:p w14:paraId="2FB21C2B" w14:textId="77777777" w:rsidR="00E12662" w:rsidRPr="00710B59" w:rsidRDefault="00E12662" w:rsidP="00710B59">
      <w:pPr>
        <w:pStyle w:val="ListParagraph"/>
        <w:rPr>
          <w:u w:val="none"/>
        </w:rPr>
      </w:pPr>
      <w:r w:rsidRPr="00710B59">
        <w:rPr>
          <w:u w:val="none"/>
        </w:rPr>
        <w:t>coordinate planned upgrades or outages?</w:t>
      </w:r>
    </w:p>
    <w:p w14:paraId="5EEF6BD8" w14:textId="77777777" w:rsidR="00E12662" w:rsidRPr="00710B59" w:rsidRDefault="00E12662" w:rsidP="00710B59">
      <w:pPr>
        <w:pStyle w:val="ListParagraph"/>
        <w:rPr>
          <w:u w:val="none"/>
        </w:rPr>
      </w:pPr>
      <w:r w:rsidRPr="00710B59">
        <w:rPr>
          <w:u w:val="none"/>
        </w:rPr>
        <w:t>adequately provide assurance in areas such as business continuity and disaster recovery?</w:t>
      </w:r>
    </w:p>
    <w:p w14:paraId="22092F96" w14:textId="77777777" w:rsidR="00E12662" w:rsidRPr="00710B59" w:rsidRDefault="00E12662" w:rsidP="00710B59">
      <w:pPr>
        <w:pStyle w:val="ListParagraph"/>
        <w:rPr>
          <w:u w:val="none"/>
        </w:rPr>
      </w:pPr>
      <w:r w:rsidRPr="00710B59">
        <w:rPr>
          <w:u w:val="none"/>
        </w:rPr>
        <w:t>ensure that security and privacy breaches are reported and managed?</w:t>
      </w:r>
    </w:p>
    <w:p w14:paraId="55735978" w14:textId="77777777" w:rsidR="00E12662" w:rsidRDefault="00E12662" w:rsidP="00E12662">
      <w:pPr>
        <w:pStyle w:val="-Normal-"/>
      </w:pPr>
      <w:r>
        <w:t>Where the vendor is selected to carry out these activities, is there adequate security and monitoring of computers that share or process data?</w:t>
      </w:r>
    </w:p>
    <w:p w14:paraId="453C317A" w14:textId="77777777" w:rsidR="00E12662" w:rsidRDefault="00E12662" w:rsidP="00E12662">
      <w:pPr>
        <w:pStyle w:val="Heading2"/>
      </w:pPr>
      <w:r>
        <w:t>Report</w:t>
      </w:r>
      <w:r w:rsidRPr="0031659A">
        <w:t>ing</w:t>
      </w:r>
    </w:p>
    <w:p w14:paraId="3142E9D7" w14:textId="77777777" w:rsidR="00E12662" w:rsidRDefault="00E12662" w:rsidP="00E12662">
      <w:pPr>
        <w:spacing w:after="120"/>
        <w:rPr>
          <w:lang w:val="en-US"/>
        </w:rPr>
      </w:pPr>
      <w:r>
        <w:rPr>
          <w:lang w:val="en-US"/>
        </w:rPr>
        <w:t>When implementing cloud solutions, it is important that you establish the frequency and format of reporting. Regular reporting needs to support business objectives and measure business performance, especially to understand elements such as resource</w:t>
      </w:r>
      <w:r w:rsidRPr="00A13006">
        <w:t xml:space="preserve"> utilisation</w:t>
      </w:r>
      <w:r>
        <w:rPr>
          <w:lang w:val="en-US"/>
        </w:rPr>
        <w:t>, throughput, availability and other measures of Quality of Service.</w:t>
      </w:r>
    </w:p>
    <w:p w14:paraId="6F11B2BF" w14:textId="67D96F20" w:rsidR="00E12662" w:rsidRDefault="00E12662" w:rsidP="00E12662">
      <w:pPr>
        <w:pStyle w:val="Heading1"/>
      </w:pPr>
      <w:r>
        <w:t xml:space="preserve">References, Links </w:t>
      </w:r>
      <w:r w:rsidR="00CF0A46">
        <w:t>and</w:t>
      </w:r>
      <w:r>
        <w:t xml:space="preserve"> Additional Information</w:t>
      </w:r>
    </w:p>
    <w:p w14:paraId="15033AD5" w14:textId="5CD41BEC" w:rsidR="00E12662" w:rsidRDefault="00E12662" w:rsidP="00E12662">
      <w:pPr>
        <w:pStyle w:val="-Normal-"/>
      </w:pPr>
      <w:r>
        <w:t xml:space="preserve">Links to various guidelines and papers, including those relevant to planning can be found on the </w:t>
      </w:r>
      <w:hyperlink r:id="rId16" w:history="1">
        <w:r w:rsidRPr="00710B59">
          <w:rPr>
            <w:rStyle w:val="Hyperlink"/>
            <w:u w:val="single"/>
          </w:rPr>
          <w:t>Cloud policy and guidelines page</w:t>
        </w:r>
      </w:hyperlink>
      <w:r w:rsidRPr="00E63B1C">
        <w:t>.</w:t>
      </w:r>
    </w:p>
    <w:p w14:paraId="37F4B128" w14:textId="77777777" w:rsidR="00E12662" w:rsidRDefault="00E12662" w:rsidP="00E12662">
      <w:pPr>
        <w:spacing w:after="0" w:line="240" w:lineRule="auto"/>
        <w:rPr>
          <w:rFonts w:eastAsia="Times New Roman" w:cs="Times New Roman"/>
          <w:b/>
          <w:bCs/>
          <w:noProof/>
          <w:sz w:val="28"/>
        </w:rPr>
      </w:pPr>
      <w:r>
        <w:br w:type="page"/>
      </w:r>
    </w:p>
    <w:p w14:paraId="413D12B7" w14:textId="77777777" w:rsidR="00E12662" w:rsidRPr="00E54589" w:rsidRDefault="00E12662" w:rsidP="00E12662">
      <w:pPr>
        <w:pStyle w:val="Heading1"/>
      </w:pPr>
      <w:r w:rsidRPr="00E54589">
        <w:lastRenderedPageBreak/>
        <w:t>Document Control</w:t>
      </w:r>
    </w:p>
    <w:p w14:paraId="5F03BF62" w14:textId="77777777" w:rsidR="00E12662" w:rsidRPr="008928FB" w:rsidRDefault="00E12662" w:rsidP="00E12662">
      <w:pPr>
        <w:pStyle w:val="-Normal1-"/>
      </w:pPr>
      <w:bookmarkStart w:id="2" w:name="Start"/>
      <w:bookmarkEnd w:id="2"/>
    </w:p>
    <w:tbl>
      <w:tblPr>
        <w:tblStyle w:val="DPCTable1"/>
        <w:tblpPr w:leftFromText="180" w:rightFromText="180" w:vertAnchor="text" w:horzAnchor="margin" w:tblpX="426" w:tblpY="-35"/>
        <w:tblW w:w="9497" w:type="dxa"/>
        <w:tblBorders>
          <w:top w:val="none" w:sz="0" w:space="0" w:color="auto"/>
          <w:bottom w:val="none" w:sz="0" w:space="0" w:color="auto"/>
          <w:insideH w:val="single" w:sz="2" w:space="0" w:color="FFFFFF" w:themeColor="background1"/>
          <w:insideV w:val="single" w:sz="2" w:space="0" w:color="FFFFFF" w:themeColor="background1"/>
        </w:tblBorders>
        <w:shd w:val="clear" w:color="auto" w:fill="F2F2F2" w:themeFill="background1" w:themeFillShade="F2"/>
        <w:tblLook w:val="04A0" w:firstRow="1" w:lastRow="0" w:firstColumn="1" w:lastColumn="0" w:noHBand="0" w:noVBand="1"/>
      </w:tblPr>
      <w:tblGrid>
        <w:gridCol w:w="3119"/>
        <w:gridCol w:w="6378"/>
      </w:tblGrid>
      <w:tr w:rsidR="00E12662" w14:paraId="4E378F60" w14:textId="77777777" w:rsidTr="00AF3B53">
        <w:trPr>
          <w:cnfStyle w:val="100000000000" w:firstRow="1" w:lastRow="0" w:firstColumn="0" w:lastColumn="0" w:oddVBand="0" w:evenVBand="0" w:oddHBand="0" w:evenHBand="0" w:firstRowFirstColumn="0" w:firstRowLastColumn="0" w:lastRowFirstColumn="0" w:lastRowLastColumn="0"/>
          <w:trHeight w:val="340"/>
        </w:trPr>
        <w:tc>
          <w:tcPr>
            <w:tcW w:w="3119" w:type="dxa"/>
            <w:tcBorders>
              <w:top w:val="none" w:sz="0" w:space="0" w:color="auto"/>
              <w:left w:val="none" w:sz="0" w:space="0" w:color="auto"/>
              <w:bottom w:val="none" w:sz="0" w:space="0" w:color="auto"/>
              <w:right w:val="none" w:sz="0" w:space="0" w:color="auto"/>
            </w:tcBorders>
            <w:shd w:val="clear" w:color="auto" w:fill="B4DDFF"/>
            <w:vAlign w:val="center"/>
          </w:tcPr>
          <w:p w14:paraId="2DD208B1" w14:textId="77777777" w:rsidR="00E12662" w:rsidRPr="007D7F5F" w:rsidRDefault="00E12662" w:rsidP="00AF3B53">
            <w:pPr>
              <w:pStyle w:val="TableText"/>
              <w:shd w:val="clear" w:color="auto" w:fill="B4DDFF"/>
              <w:spacing w:before="0" w:after="0"/>
              <w:rPr>
                <w:b w:val="0"/>
                <w:sz w:val="18"/>
              </w:rPr>
            </w:pPr>
            <w:r w:rsidRPr="007D7F5F">
              <w:rPr>
                <w:b w:val="0"/>
                <w:sz w:val="18"/>
              </w:rPr>
              <w:t>ID</w:t>
            </w:r>
          </w:p>
        </w:tc>
        <w:tc>
          <w:tcPr>
            <w:tcW w:w="6378" w:type="dxa"/>
            <w:tcBorders>
              <w:top w:val="none" w:sz="0" w:space="0" w:color="auto"/>
              <w:left w:val="none" w:sz="0" w:space="0" w:color="auto"/>
              <w:bottom w:val="none" w:sz="0" w:space="0" w:color="auto"/>
              <w:right w:val="none" w:sz="0" w:space="0" w:color="auto"/>
            </w:tcBorders>
            <w:shd w:val="clear" w:color="auto" w:fill="B4DDFF"/>
            <w:vAlign w:val="center"/>
          </w:tcPr>
          <w:p w14:paraId="6DA42BF7" w14:textId="77777777" w:rsidR="00E12662" w:rsidRPr="007D7F5F" w:rsidRDefault="00E12662" w:rsidP="00AF3B53">
            <w:pPr>
              <w:pStyle w:val="TableText"/>
              <w:shd w:val="clear" w:color="auto" w:fill="B4DDFF"/>
              <w:spacing w:before="0" w:after="0"/>
              <w:rPr>
                <w:b w:val="0"/>
                <w:sz w:val="18"/>
              </w:rPr>
            </w:pPr>
            <w:r w:rsidRPr="007D7F5F">
              <w:rPr>
                <w:b w:val="0"/>
                <w:sz w:val="18"/>
              </w:rPr>
              <w:t>DPC/</w:t>
            </w:r>
            <w:r>
              <w:rPr>
                <w:b w:val="0"/>
                <w:sz w:val="18"/>
              </w:rPr>
              <w:t>G3.4</w:t>
            </w:r>
          </w:p>
        </w:tc>
      </w:tr>
      <w:tr w:rsidR="00E12662" w14:paraId="534A3120" w14:textId="77777777" w:rsidTr="00AF3B53">
        <w:trPr>
          <w:trHeight w:val="340"/>
        </w:trPr>
        <w:tc>
          <w:tcPr>
            <w:tcW w:w="3119" w:type="dxa"/>
            <w:shd w:val="clear" w:color="auto" w:fill="B4DDFF"/>
            <w:vAlign w:val="center"/>
          </w:tcPr>
          <w:p w14:paraId="44843E66" w14:textId="77777777" w:rsidR="00E12662" w:rsidRPr="008928FB" w:rsidRDefault="00E12662" w:rsidP="00AF3B53">
            <w:pPr>
              <w:pStyle w:val="TableText"/>
              <w:shd w:val="clear" w:color="auto" w:fill="B4DDFF"/>
              <w:spacing w:before="0" w:after="0"/>
              <w:rPr>
                <w:sz w:val="18"/>
              </w:rPr>
            </w:pPr>
            <w:r>
              <w:rPr>
                <w:sz w:val="18"/>
              </w:rPr>
              <w:t>Version</w:t>
            </w:r>
          </w:p>
        </w:tc>
        <w:tc>
          <w:tcPr>
            <w:tcW w:w="6378" w:type="dxa"/>
            <w:shd w:val="clear" w:color="auto" w:fill="B4DDFF"/>
            <w:vAlign w:val="center"/>
          </w:tcPr>
          <w:p w14:paraId="205AB7CF" w14:textId="77777777" w:rsidR="00E12662" w:rsidRPr="008928FB" w:rsidRDefault="00E12662" w:rsidP="00AF3B53">
            <w:pPr>
              <w:pStyle w:val="TableText"/>
              <w:shd w:val="clear" w:color="auto" w:fill="B4DDFF"/>
              <w:spacing w:before="0" w:after="0"/>
              <w:rPr>
                <w:sz w:val="18"/>
              </w:rPr>
            </w:pPr>
            <w:r>
              <w:rPr>
                <w:sz w:val="18"/>
              </w:rPr>
              <w:t>1.1</w:t>
            </w:r>
          </w:p>
        </w:tc>
      </w:tr>
      <w:tr w:rsidR="00E12662" w14:paraId="3273BF16" w14:textId="77777777" w:rsidTr="00AF3B53">
        <w:trPr>
          <w:trHeight w:val="340"/>
        </w:trPr>
        <w:tc>
          <w:tcPr>
            <w:tcW w:w="3119" w:type="dxa"/>
            <w:shd w:val="clear" w:color="auto" w:fill="B4DDFF"/>
            <w:vAlign w:val="center"/>
          </w:tcPr>
          <w:p w14:paraId="604B89EA" w14:textId="77777777" w:rsidR="00E12662" w:rsidRPr="008928FB" w:rsidRDefault="00E12662" w:rsidP="00AF3B53">
            <w:pPr>
              <w:pStyle w:val="TableText"/>
              <w:shd w:val="clear" w:color="auto" w:fill="B4DDFF"/>
              <w:spacing w:before="0" w:after="0"/>
              <w:rPr>
                <w:sz w:val="18"/>
              </w:rPr>
            </w:pPr>
            <w:r>
              <w:rPr>
                <w:sz w:val="18"/>
              </w:rPr>
              <w:t>Classification/DLM</w:t>
            </w:r>
          </w:p>
        </w:tc>
        <w:tc>
          <w:tcPr>
            <w:tcW w:w="6378" w:type="dxa"/>
            <w:shd w:val="clear" w:color="auto" w:fill="B4DDFF"/>
            <w:vAlign w:val="center"/>
          </w:tcPr>
          <w:p w14:paraId="4CF6C86C" w14:textId="77777777" w:rsidR="00E12662" w:rsidRPr="008928FB" w:rsidRDefault="00E12662" w:rsidP="00AF3B53">
            <w:pPr>
              <w:pStyle w:val="TableText"/>
              <w:shd w:val="clear" w:color="auto" w:fill="B4DDFF"/>
              <w:spacing w:before="0" w:after="0"/>
              <w:rPr>
                <w:sz w:val="18"/>
              </w:rPr>
            </w:pPr>
            <w:r>
              <w:rPr>
                <w:sz w:val="18"/>
              </w:rPr>
              <w:t>Public I1-A1</w:t>
            </w:r>
          </w:p>
        </w:tc>
      </w:tr>
      <w:tr w:rsidR="00E12662" w14:paraId="742E1EE3" w14:textId="77777777" w:rsidTr="00AF3B53">
        <w:trPr>
          <w:trHeight w:val="340"/>
        </w:trPr>
        <w:tc>
          <w:tcPr>
            <w:tcW w:w="3119" w:type="dxa"/>
            <w:shd w:val="clear" w:color="auto" w:fill="B4DDFF"/>
            <w:vAlign w:val="center"/>
          </w:tcPr>
          <w:p w14:paraId="1D767F65" w14:textId="77777777" w:rsidR="00E12662" w:rsidRPr="008928FB" w:rsidRDefault="00E12662" w:rsidP="00AF3B53">
            <w:pPr>
              <w:pStyle w:val="TableText"/>
              <w:shd w:val="clear" w:color="auto" w:fill="B4DDFF"/>
              <w:spacing w:before="0" w:after="0"/>
              <w:rPr>
                <w:sz w:val="18"/>
              </w:rPr>
            </w:pPr>
            <w:r>
              <w:rPr>
                <w:sz w:val="18"/>
              </w:rPr>
              <w:t>Compliance</w:t>
            </w:r>
          </w:p>
        </w:tc>
        <w:tc>
          <w:tcPr>
            <w:tcW w:w="6378" w:type="dxa"/>
            <w:shd w:val="clear" w:color="auto" w:fill="B4DDFF"/>
            <w:vAlign w:val="center"/>
          </w:tcPr>
          <w:p w14:paraId="6601F558" w14:textId="77777777" w:rsidR="00E12662" w:rsidRPr="008928FB" w:rsidRDefault="00E12662" w:rsidP="00AF3B53">
            <w:pPr>
              <w:pStyle w:val="TableText"/>
              <w:shd w:val="clear" w:color="auto" w:fill="B4DDFF"/>
              <w:spacing w:before="0" w:after="0"/>
              <w:rPr>
                <w:sz w:val="18"/>
              </w:rPr>
            </w:pPr>
            <w:r>
              <w:rPr>
                <w:sz w:val="18"/>
              </w:rPr>
              <w:t>Discretionary</w:t>
            </w:r>
          </w:p>
        </w:tc>
      </w:tr>
      <w:tr w:rsidR="00E12662" w14:paraId="240BDFBA" w14:textId="77777777" w:rsidTr="00AF3B53">
        <w:trPr>
          <w:trHeight w:val="340"/>
        </w:trPr>
        <w:tc>
          <w:tcPr>
            <w:tcW w:w="3119" w:type="dxa"/>
            <w:shd w:val="clear" w:color="auto" w:fill="B4DDFF"/>
            <w:vAlign w:val="center"/>
          </w:tcPr>
          <w:p w14:paraId="2863D637" w14:textId="77777777" w:rsidR="00E12662" w:rsidRPr="008928FB" w:rsidRDefault="00E12662" w:rsidP="00AF3B53">
            <w:pPr>
              <w:pStyle w:val="TableText"/>
              <w:shd w:val="clear" w:color="auto" w:fill="B4DDFF"/>
              <w:spacing w:before="0" w:after="0"/>
              <w:rPr>
                <w:sz w:val="18"/>
              </w:rPr>
            </w:pPr>
            <w:r>
              <w:rPr>
                <w:sz w:val="18"/>
              </w:rPr>
              <w:t>Original authorisation date</w:t>
            </w:r>
          </w:p>
        </w:tc>
        <w:tc>
          <w:tcPr>
            <w:tcW w:w="6378" w:type="dxa"/>
            <w:shd w:val="clear" w:color="auto" w:fill="B4DDFF"/>
            <w:vAlign w:val="center"/>
          </w:tcPr>
          <w:p w14:paraId="191DB740" w14:textId="77777777" w:rsidR="00E12662" w:rsidRPr="008928FB" w:rsidRDefault="00E12662" w:rsidP="00AF3B53">
            <w:pPr>
              <w:pStyle w:val="TableText"/>
              <w:shd w:val="clear" w:color="auto" w:fill="B4DDFF"/>
              <w:spacing w:before="0" w:after="0"/>
              <w:rPr>
                <w:sz w:val="18"/>
              </w:rPr>
            </w:pPr>
            <w:r>
              <w:rPr>
                <w:sz w:val="18"/>
              </w:rPr>
              <w:t>December 2016</w:t>
            </w:r>
          </w:p>
        </w:tc>
      </w:tr>
      <w:tr w:rsidR="00E12662" w14:paraId="65A01E97" w14:textId="77777777" w:rsidTr="00AF3B53">
        <w:trPr>
          <w:trHeight w:val="340"/>
        </w:trPr>
        <w:tc>
          <w:tcPr>
            <w:tcW w:w="3119" w:type="dxa"/>
            <w:shd w:val="clear" w:color="auto" w:fill="B4DDFF"/>
            <w:vAlign w:val="center"/>
          </w:tcPr>
          <w:p w14:paraId="7692B55D" w14:textId="77777777" w:rsidR="00E12662" w:rsidRPr="008928FB" w:rsidRDefault="00E12662" w:rsidP="00AF3B53">
            <w:pPr>
              <w:pStyle w:val="TableText"/>
              <w:shd w:val="clear" w:color="auto" w:fill="B4DDFF"/>
              <w:spacing w:before="0" w:after="0"/>
              <w:rPr>
                <w:sz w:val="18"/>
              </w:rPr>
            </w:pPr>
            <w:r>
              <w:rPr>
                <w:sz w:val="18"/>
              </w:rPr>
              <w:t>Last approval date</w:t>
            </w:r>
          </w:p>
        </w:tc>
        <w:tc>
          <w:tcPr>
            <w:tcW w:w="6378" w:type="dxa"/>
            <w:shd w:val="clear" w:color="auto" w:fill="B4DDFF"/>
            <w:vAlign w:val="center"/>
          </w:tcPr>
          <w:p w14:paraId="7544A5F8" w14:textId="77777777" w:rsidR="00E12662" w:rsidRPr="008928FB" w:rsidRDefault="00E12662" w:rsidP="00AF3B53">
            <w:pPr>
              <w:pStyle w:val="TableText"/>
              <w:shd w:val="clear" w:color="auto" w:fill="B4DDFF"/>
              <w:spacing w:before="0" w:after="0"/>
              <w:rPr>
                <w:sz w:val="18"/>
              </w:rPr>
            </w:pPr>
            <w:r>
              <w:rPr>
                <w:sz w:val="18"/>
              </w:rPr>
              <w:t>March 2018</w:t>
            </w:r>
          </w:p>
        </w:tc>
      </w:tr>
      <w:tr w:rsidR="00E12662" w14:paraId="76A956E5" w14:textId="77777777" w:rsidTr="00AF3B53">
        <w:trPr>
          <w:trHeight w:val="340"/>
        </w:trPr>
        <w:tc>
          <w:tcPr>
            <w:tcW w:w="3119" w:type="dxa"/>
            <w:shd w:val="clear" w:color="auto" w:fill="B4DDFF"/>
            <w:vAlign w:val="center"/>
          </w:tcPr>
          <w:p w14:paraId="4AC27EAA" w14:textId="77777777" w:rsidR="00E12662" w:rsidRPr="008928FB" w:rsidRDefault="00E12662" w:rsidP="00AF3B53">
            <w:pPr>
              <w:pStyle w:val="TableText"/>
              <w:shd w:val="clear" w:color="auto" w:fill="B4DDFF"/>
              <w:spacing w:before="0" w:after="0"/>
              <w:rPr>
                <w:sz w:val="18"/>
              </w:rPr>
            </w:pPr>
            <w:r>
              <w:rPr>
                <w:sz w:val="18"/>
              </w:rPr>
              <w:t>Next review date</w:t>
            </w:r>
          </w:p>
        </w:tc>
        <w:tc>
          <w:tcPr>
            <w:tcW w:w="6378" w:type="dxa"/>
            <w:shd w:val="clear" w:color="auto" w:fill="B4DDFF"/>
            <w:vAlign w:val="center"/>
          </w:tcPr>
          <w:p w14:paraId="22822A9C" w14:textId="77777777" w:rsidR="00E12662" w:rsidRPr="008928FB" w:rsidRDefault="00E12662" w:rsidP="00AF3B53">
            <w:pPr>
              <w:pStyle w:val="TableText"/>
              <w:shd w:val="clear" w:color="auto" w:fill="B4DDFF"/>
              <w:spacing w:before="0" w:after="0"/>
              <w:rPr>
                <w:sz w:val="18"/>
              </w:rPr>
            </w:pPr>
            <w:r>
              <w:rPr>
                <w:sz w:val="18"/>
              </w:rPr>
              <w:t>March 2020</w:t>
            </w:r>
          </w:p>
        </w:tc>
      </w:tr>
    </w:tbl>
    <w:tbl>
      <w:tblPr>
        <w:tblStyle w:val="TableGrid"/>
        <w:tblW w:w="9494" w:type="dxa"/>
        <w:tblInd w:w="426" w:type="dxa"/>
        <w:tblBorders>
          <w:top w:val="single" w:sz="2" w:space="0" w:color="B4DDFF" w:themeColor="text2" w:themeTint="33"/>
          <w:left w:val="single" w:sz="2" w:space="0" w:color="B4DDFF" w:themeColor="text2" w:themeTint="33"/>
          <w:bottom w:val="single" w:sz="2" w:space="0" w:color="B4DDFF" w:themeColor="text2" w:themeTint="33"/>
          <w:right w:val="single" w:sz="2" w:space="0" w:color="B4DDFF" w:themeColor="text2" w:themeTint="33"/>
          <w:insideH w:val="none" w:sz="0" w:space="0" w:color="auto"/>
          <w:insideV w:val="none" w:sz="0" w:space="0" w:color="auto"/>
        </w:tblBorders>
        <w:tblLook w:val="04A0" w:firstRow="1" w:lastRow="0" w:firstColumn="1" w:lastColumn="0" w:noHBand="0" w:noVBand="1"/>
      </w:tblPr>
      <w:tblGrid>
        <w:gridCol w:w="9494"/>
      </w:tblGrid>
      <w:tr w:rsidR="00E12662" w14:paraId="587D619D" w14:textId="77777777" w:rsidTr="00AF3B53">
        <w:trPr>
          <w:trHeight w:val="454"/>
        </w:trPr>
        <w:tc>
          <w:tcPr>
            <w:tcW w:w="9494" w:type="dxa"/>
            <w:shd w:val="clear" w:color="auto" w:fill="B4DDFF"/>
            <w:vAlign w:val="center"/>
          </w:tcPr>
          <w:p w14:paraId="5977802F" w14:textId="77777777" w:rsidR="00E12662" w:rsidRPr="007D7F5F" w:rsidRDefault="00E12662" w:rsidP="00AF3B53">
            <w:pPr>
              <w:pStyle w:val="-Normal1-"/>
              <w:shd w:val="clear" w:color="auto" w:fill="B4DDFF"/>
            </w:pPr>
            <w:r w:rsidRPr="00126C6F">
              <w:t>Licence</w:t>
            </w:r>
          </w:p>
        </w:tc>
      </w:tr>
      <w:tr w:rsidR="00E12662" w14:paraId="4C455769" w14:textId="77777777" w:rsidTr="00AF3B53">
        <w:trPr>
          <w:trHeight w:val="340"/>
        </w:trPr>
        <w:tc>
          <w:tcPr>
            <w:tcW w:w="9494" w:type="dxa"/>
            <w:vAlign w:val="center"/>
          </w:tcPr>
          <w:p w14:paraId="5D16BC5E" w14:textId="77777777" w:rsidR="00E12662" w:rsidRDefault="00E12662" w:rsidP="00AF3B53">
            <w:pPr>
              <w:pStyle w:val="-Normal1-"/>
            </w:pPr>
            <w:r w:rsidRPr="00684B9E">
              <w:rPr>
                <w:noProof/>
              </w:rPr>
              <w:drawing>
                <wp:anchor distT="0" distB="0" distL="114300" distR="114300" simplePos="0" relativeHeight="251659264" behindDoc="0" locked="0" layoutInCell="1" allowOverlap="1" wp14:anchorId="7010FC4C" wp14:editId="56ABF20F">
                  <wp:simplePos x="0" y="0"/>
                  <wp:positionH relativeFrom="column">
                    <wp:posOffset>-674370</wp:posOffset>
                  </wp:positionH>
                  <wp:positionV relativeFrom="paragraph">
                    <wp:posOffset>133350</wp:posOffset>
                  </wp:positionV>
                  <wp:extent cx="838200" cy="294640"/>
                  <wp:effectExtent l="0" t="0" r="0" b="0"/>
                  <wp:wrapSquare wrapText="bothSides"/>
                  <wp:docPr id="15" name="Picture 3" descr="Creative Commons Attribution 2.5 Australia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Attribution 2.5 Australia License"/>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838200" cy="2946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E12662" w14:paraId="30E8D381" w14:textId="77777777" w:rsidTr="00AF3B53">
        <w:trPr>
          <w:trHeight w:val="1247"/>
        </w:trPr>
        <w:tc>
          <w:tcPr>
            <w:tcW w:w="9494" w:type="dxa"/>
            <w:vAlign w:val="center"/>
          </w:tcPr>
          <w:p w14:paraId="1B373B40" w14:textId="6D0ACE5E" w:rsidR="00E12662" w:rsidRPr="00126C6F" w:rsidRDefault="00E12662" w:rsidP="00AF3B53">
            <w:pPr>
              <w:pStyle w:val="-Normal1-"/>
            </w:pPr>
            <w:r w:rsidRPr="00126C6F">
              <w:t xml:space="preserve">With the exception of the Government of South Australia brand, logos and any images, this work is licensed under a </w:t>
            </w:r>
            <w:hyperlink r:id="rId19" w:history="1">
              <w:r w:rsidRPr="00256533">
                <w:rPr>
                  <w:color w:val="3366CC"/>
                  <w:u w:val="single"/>
                </w:rPr>
                <w:t>Creative Commons Attribution (CC BY) 4.0 Licence</w:t>
              </w:r>
            </w:hyperlink>
            <w:r w:rsidRPr="00126C6F">
              <w:t>. To attribute this material, cite Department of the Premier and Cabinet, Government of South Australia, 201</w:t>
            </w:r>
            <w:r w:rsidR="00AE4F03">
              <w:t>9</w:t>
            </w:r>
            <w:r w:rsidRPr="00126C6F">
              <w:t>.</w:t>
            </w:r>
          </w:p>
        </w:tc>
      </w:tr>
    </w:tbl>
    <w:p w14:paraId="6F06B9C0" w14:textId="77777777" w:rsidR="00E12662" w:rsidRPr="00E54589" w:rsidRDefault="00E12662" w:rsidP="00E12662">
      <w:pPr>
        <w:rPr>
          <w:rFonts w:cs="Arial"/>
        </w:rPr>
      </w:pPr>
    </w:p>
    <w:p w14:paraId="5EB5824B" w14:textId="77777777" w:rsidR="009D7060" w:rsidRPr="00E12662" w:rsidRDefault="009D7060" w:rsidP="00E12662">
      <w:pPr>
        <w:rPr>
          <w:rStyle w:val="Hyperlink"/>
          <w:color w:val="auto"/>
        </w:rPr>
      </w:pPr>
    </w:p>
    <w:sectPr w:rsidR="009D7060" w:rsidRPr="00E12662" w:rsidSect="00F32317">
      <w:headerReference w:type="default" r:id="rId20"/>
      <w:footerReference w:type="default" r:id="rId21"/>
      <w:headerReference w:type="first" r:id="rId22"/>
      <w:footerReference w:type="first" r:id="rId23"/>
      <w:pgSz w:w="11900" w:h="16840"/>
      <w:pgMar w:top="1418" w:right="1127" w:bottom="426" w:left="993" w:header="0" w:footer="47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2E470D" w14:textId="77777777" w:rsidR="00517E3F" w:rsidRDefault="00517E3F" w:rsidP="00AF7F16">
      <w:r>
        <w:separator/>
      </w:r>
    </w:p>
  </w:endnote>
  <w:endnote w:type="continuationSeparator" w:id="0">
    <w:p w14:paraId="77C540ED" w14:textId="77777777" w:rsidR="00517E3F" w:rsidRDefault="00517E3F" w:rsidP="00AF7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ial Bold">
    <w:altName w:val="Arial"/>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737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2"/>
      <w:gridCol w:w="5670"/>
    </w:tblGrid>
    <w:tr w:rsidR="00084360" w14:paraId="749F5369" w14:textId="77777777" w:rsidTr="00080651">
      <w:trPr>
        <w:trHeight w:val="290"/>
      </w:trPr>
      <w:tc>
        <w:tcPr>
          <w:tcW w:w="1702" w:type="dxa"/>
          <w:shd w:val="clear" w:color="auto" w:fill="004B88" w:themeFill="text2"/>
          <w:vAlign w:val="center"/>
        </w:tcPr>
        <w:p w14:paraId="283EF57B" w14:textId="77777777" w:rsidR="00084360" w:rsidRPr="008011DC" w:rsidRDefault="00084360" w:rsidP="00084360">
          <w:pPr>
            <w:pStyle w:val="Pagenumbers"/>
          </w:pPr>
          <w:r w:rsidRPr="008011DC">
            <w:t xml:space="preserve">Page </w:t>
          </w:r>
          <w:r w:rsidRPr="008011DC">
            <w:fldChar w:fldCharType="begin"/>
          </w:r>
          <w:r w:rsidRPr="008011DC">
            <w:instrText xml:space="preserve"> PAGE </w:instrText>
          </w:r>
          <w:r w:rsidRPr="008011DC">
            <w:fldChar w:fldCharType="separate"/>
          </w:r>
          <w:r w:rsidR="005079A5">
            <w:rPr>
              <w:noProof/>
            </w:rPr>
            <w:t>2</w:t>
          </w:r>
          <w:r w:rsidRPr="008011DC">
            <w:fldChar w:fldCharType="end"/>
          </w:r>
          <w:r w:rsidRPr="008011DC">
            <w:t xml:space="preserve"> of </w:t>
          </w:r>
          <w:r w:rsidR="00AD4171">
            <w:rPr>
              <w:noProof/>
            </w:rPr>
            <w:fldChar w:fldCharType="begin"/>
          </w:r>
          <w:r w:rsidR="00AD4171">
            <w:rPr>
              <w:noProof/>
            </w:rPr>
            <w:instrText xml:space="preserve"> NUMPAGES </w:instrText>
          </w:r>
          <w:r w:rsidR="00AD4171">
            <w:rPr>
              <w:noProof/>
            </w:rPr>
            <w:fldChar w:fldCharType="separate"/>
          </w:r>
          <w:r w:rsidR="005079A5">
            <w:rPr>
              <w:noProof/>
            </w:rPr>
            <w:t>2</w:t>
          </w:r>
          <w:r w:rsidR="00AD4171">
            <w:rPr>
              <w:noProof/>
            </w:rPr>
            <w:fldChar w:fldCharType="end"/>
          </w:r>
        </w:p>
      </w:tc>
      <w:tc>
        <w:tcPr>
          <w:tcW w:w="5670" w:type="dxa"/>
          <w:shd w:val="clear" w:color="auto" w:fill="004B88" w:themeFill="text2"/>
          <w:vAlign w:val="center"/>
        </w:tcPr>
        <w:p w14:paraId="125C290B" w14:textId="4E32C21D" w:rsidR="00084360" w:rsidRPr="008011DC" w:rsidRDefault="00084360" w:rsidP="00084360">
          <w:pPr>
            <w:pStyle w:val="Pagenumbers"/>
          </w:pPr>
        </w:p>
      </w:tc>
    </w:tr>
  </w:tbl>
  <w:p w14:paraId="1F4FE57C" w14:textId="26625180" w:rsidR="003B5AC0" w:rsidRDefault="00C3240A" w:rsidP="00545EC0">
    <w:pPr>
      <w:pStyle w:val="Footer"/>
      <w:tabs>
        <w:tab w:val="clear" w:pos="4320"/>
        <w:tab w:val="clear" w:pos="8640"/>
      </w:tabs>
      <w:ind w:left="-993" w:right="-1127"/>
    </w:pPr>
    <w:r>
      <w:rPr>
        <w:noProof/>
      </w:rPr>
      <w:drawing>
        <wp:anchor distT="0" distB="0" distL="114300" distR="114300" simplePos="0" relativeHeight="251670528" behindDoc="1" locked="0" layoutInCell="1" allowOverlap="1" wp14:anchorId="41831364" wp14:editId="1B1DD87B">
          <wp:simplePos x="0" y="0"/>
          <wp:positionH relativeFrom="margin">
            <wp:align>left</wp:align>
          </wp:positionH>
          <wp:positionV relativeFrom="paragraph">
            <wp:posOffset>-352425</wp:posOffset>
          </wp:positionV>
          <wp:extent cx="6679726" cy="795020"/>
          <wp:effectExtent l="0" t="0" r="6985" b="5080"/>
          <wp:wrapNone/>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Footer-DPC ONLY.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6679726" cy="7950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72810" w:rsidRPr="00A72810">
      <w:rPr>
        <w:noProof/>
        <w:lang w:val="en-US"/>
      </w:rPr>
      <mc:AlternateContent>
        <mc:Choice Requires="wps">
          <w:drawing>
            <wp:anchor distT="0" distB="0" distL="114300" distR="114300" simplePos="0" relativeHeight="251668480" behindDoc="0" locked="0" layoutInCell="1" allowOverlap="1" wp14:anchorId="1BB11B18" wp14:editId="5D2286DD">
              <wp:simplePos x="0" y="0"/>
              <wp:positionH relativeFrom="margin">
                <wp:align>center</wp:align>
              </wp:positionH>
              <wp:positionV relativeFrom="page">
                <wp:align>bottom</wp:align>
              </wp:positionV>
              <wp:extent cx="5040000" cy="360000"/>
              <wp:effectExtent l="0" t="0" r="8255" b="2540"/>
              <wp:wrapNone/>
              <wp:docPr id="5" name="Text Box 5"/>
              <wp:cNvGraphicFramePr/>
              <a:graphic xmlns:a="http://schemas.openxmlformats.org/drawingml/2006/main">
                <a:graphicData uri="http://schemas.microsoft.com/office/word/2010/wordprocessingShape">
                  <wps:wsp>
                    <wps:cNvSpPr txBox="1"/>
                    <wps:spPr>
                      <a:xfrm>
                        <a:off x="0" y="0"/>
                        <a:ext cx="5040000" cy="360000"/>
                      </a:xfrm>
                      <a:prstGeom prst="rect">
                        <a:avLst/>
                      </a:prstGeom>
                      <a:noFill/>
                      <a:ln w="6350">
                        <a:noFill/>
                      </a:ln>
                    </wps:spPr>
                    <wps:txbx>
                      <w:txbxContent>
                        <w:p w14:paraId="14FDD440" w14:textId="77777777" w:rsidR="00A72810" w:rsidRDefault="00A72810" w:rsidP="00A72810">
                          <w:pPr>
                            <w:jc w:val="center"/>
                          </w:pPr>
                          <w:r w:rsidRPr="007B4FAA">
                            <w:rPr>
                              <w:b/>
                              <w:color w:val="C00000"/>
                              <w:szCs w:val="18"/>
                            </w:rPr>
                            <w:t>OFFICIAL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1BB11B18" id="_x0000_t202" coordsize="21600,21600" o:spt="202" path="m,l,21600r21600,l21600,xe">
              <v:stroke joinstyle="miter"/>
              <v:path gradientshapeok="t" o:connecttype="rect"/>
            </v:shapetype>
            <v:shape id="Text Box 5" o:spid="_x0000_s1027" type="#_x0000_t202" style="position:absolute;left:0;text-align:left;margin-left:0;margin-top:0;width:396.85pt;height:28.35pt;z-index:251668480;visibility:visible;mso-wrap-style:square;mso-width-percent:0;mso-height-percent:0;mso-wrap-distance-left:9pt;mso-wrap-distance-top:0;mso-wrap-distance-right:9pt;mso-wrap-distance-bottom:0;mso-position-horizontal:center;mso-position-horizontal-relative:margin;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" filled="f" stroked="f" strokeweight=".5pt">
              <v:textbox inset="0,0,0,0">
                <w:txbxContent>
                  <w:p w14:paraId="14FDD440" w14:textId="77777777" w:rsidR="00A72810" w:rsidRDefault="00A72810" w:rsidP="00A72810">
                    <w:pPr>
                      <w:jc w:val="center"/>
                    </w:pPr>
                    <w:r w:rsidRPr="007B4FAA">
                      <w:rPr>
                        <w:b/>
                        <w:color w:val="C00000"/>
                        <w:szCs w:val="18"/>
                      </w:rPr>
                      <w:t>OFFICIAL</w:t>
                    </w:r>
                  </w:p>
                </w:txbxContent>
              </v:textbox>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2"/>
      <w:tblW w:w="1077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2"/>
      <w:gridCol w:w="9072"/>
    </w:tblGrid>
    <w:tr w:rsidR="00084360" w:rsidRPr="00084360" w14:paraId="049811CC" w14:textId="77777777" w:rsidTr="00080651">
      <w:trPr>
        <w:trHeight w:val="290"/>
      </w:trPr>
      <w:tc>
        <w:tcPr>
          <w:tcW w:w="1702" w:type="dxa"/>
          <w:shd w:val="clear" w:color="auto" w:fill="004B88" w:themeFill="text2"/>
          <w:vAlign w:val="center"/>
        </w:tcPr>
        <w:p w14:paraId="4333DB7A" w14:textId="77777777" w:rsidR="00084360" w:rsidRPr="00084360" w:rsidRDefault="00084360" w:rsidP="00084360">
          <w:pPr>
            <w:spacing w:after="0" w:line="240" w:lineRule="auto"/>
            <w:rPr>
              <w:sz w:val="18"/>
              <w:szCs w:val="18"/>
            </w:rPr>
          </w:pPr>
          <w:r w:rsidRPr="00084360">
            <w:rPr>
              <w:sz w:val="18"/>
              <w:szCs w:val="18"/>
            </w:rPr>
            <w:t xml:space="preserve">Page </w:t>
          </w:r>
          <w:r w:rsidRPr="00084360">
            <w:rPr>
              <w:sz w:val="18"/>
              <w:szCs w:val="18"/>
            </w:rPr>
            <w:fldChar w:fldCharType="begin"/>
          </w:r>
          <w:r w:rsidRPr="00084360">
            <w:rPr>
              <w:sz w:val="18"/>
              <w:szCs w:val="18"/>
            </w:rPr>
            <w:instrText xml:space="preserve"> PAGE </w:instrText>
          </w:r>
          <w:r w:rsidRPr="00084360">
            <w:rPr>
              <w:sz w:val="18"/>
              <w:szCs w:val="18"/>
            </w:rPr>
            <w:fldChar w:fldCharType="separate"/>
          </w:r>
          <w:r w:rsidR="005079A5">
            <w:rPr>
              <w:noProof/>
              <w:sz w:val="18"/>
              <w:szCs w:val="18"/>
            </w:rPr>
            <w:t>1</w:t>
          </w:r>
          <w:r w:rsidRPr="00084360">
            <w:rPr>
              <w:sz w:val="18"/>
              <w:szCs w:val="18"/>
            </w:rPr>
            <w:fldChar w:fldCharType="end"/>
          </w:r>
          <w:r w:rsidRPr="00084360">
            <w:rPr>
              <w:sz w:val="18"/>
              <w:szCs w:val="18"/>
            </w:rPr>
            <w:t xml:space="preserve"> of </w:t>
          </w:r>
          <w:r w:rsidRPr="00084360">
            <w:rPr>
              <w:sz w:val="18"/>
              <w:szCs w:val="18"/>
            </w:rPr>
            <w:fldChar w:fldCharType="begin"/>
          </w:r>
          <w:r w:rsidRPr="00084360">
            <w:rPr>
              <w:sz w:val="18"/>
              <w:szCs w:val="18"/>
            </w:rPr>
            <w:instrText xml:space="preserve"> NUMPAGES </w:instrText>
          </w:r>
          <w:r w:rsidRPr="00084360">
            <w:rPr>
              <w:sz w:val="18"/>
              <w:szCs w:val="18"/>
            </w:rPr>
            <w:fldChar w:fldCharType="separate"/>
          </w:r>
          <w:r w:rsidR="005079A5">
            <w:rPr>
              <w:noProof/>
              <w:sz w:val="18"/>
              <w:szCs w:val="18"/>
            </w:rPr>
            <w:t>2</w:t>
          </w:r>
          <w:r w:rsidRPr="00084360">
            <w:rPr>
              <w:sz w:val="18"/>
              <w:szCs w:val="18"/>
            </w:rPr>
            <w:fldChar w:fldCharType="end"/>
          </w:r>
        </w:p>
      </w:tc>
      <w:tc>
        <w:tcPr>
          <w:tcW w:w="9072" w:type="dxa"/>
          <w:shd w:val="clear" w:color="auto" w:fill="004B88" w:themeFill="text2"/>
          <w:vAlign w:val="center"/>
        </w:tcPr>
        <w:p w14:paraId="3777A8EB" w14:textId="401D2B6E" w:rsidR="00084360" w:rsidRPr="00084360" w:rsidRDefault="00084360" w:rsidP="00084360">
          <w:pPr>
            <w:spacing w:after="0" w:line="240" w:lineRule="auto"/>
            <w:rPr>
              <w:sz w:val="18"/>
              <w:szCs w:val="18"/>
            </w:rPr>
          </w:pPr>
        </w:p>
      </w:tc>
    </w:tr>
  </w:tbl>
  <w:p w14:paraId="58EF6B17" w14:textId="053DE584" w:rsidR="003B5AC0" w:rsidRDefault="00A72810" w:rsidP="00AC730E">
    <w:pPr>
      <w:pStyle w:val="Footer"/>
      <w:tabs>
        <w:tab w:val="clear" w:pos="4320"/>
        <w:tab w:val="clear" w:pos="8640"/>
      </w:tabs>
    </w:pPr>
    <w:r w:rsidRPr="00A72810">
      <w:rPr>
        <w:noProof/>
        <w:lang w:val="en-US"/>
      </w:rPr>
      <mc:AlternateContent>
        <mc:Choice Requires="wps">
          <w:drawing>
            <wp:anchor distT="0" distB="0" distL="114300" distR="114300" simplePos="0" relativeHeight="251664384" behindDoc="0" locked="0" layoutInCell="1" allowOverlap="1" wp14:anchorId="329A9EF1" wp14:editId="11C257D3">
              <wp:simplePos x="0" y="0"/>
              <wp:positionH relativeFrom="margin">
                <wp:align>center</wp:align>
              </wp:positionH>
              <wp:positionV relativeFrom="topMargin">
                <wp:posOffset>10295890</wp:posOffset>
              </wp:positionV>
              <wp:extent cx="5040000" cy="360000"/>
              <wp:effectExtent l="0" t="0" r="8255" b="2540"/>
              <wp:wrapNone/>
              <wp:docPr id="1" name="Text Box 1"/>
              <wp:cNvGraphicFramePr/>
              <a:graphic xmlns:a="http://schemas.openxmlformats.org/drawingml/2006/main">
                <a:graphicData uri="http://schemas.microsoft.com/office/word/2010/wordprocessingShape">
                  <wps:wsp>
                    <wps:cNvSpPr txBox="1"/>
                    <wps:spPr>
                      <a:xfrm>
                        <a:off x="0" y="0"/>
                        <a:ext cx="5040000" cy="360000"/>
                      </a:xfrm>
                      <a:prstGeom prst="rect">
                        <a:avLst/>
                      </a:prstGeom>
                      <a:noFill/>
                      <a:ln w="6350">
                        <a:noFill/>
                      </a:ln>
                    </wps:spPr>
                    <wps:txbx>
                      <w:txbxContent>
                        <w:p w14:paraId="298F3D93" w14:textId="77777777" w:rsidR="00A72810" w:rsidRDefault="00A72810" w:rsidP="00A72810">
                          <w:pPr>
                            <w:jc w:val="center"/>
                          </w:pPr>
                          <w:r w:rsidRPr="007B4FAA">
                            <w:rPr>
                              <w:b/>
                              <w:color w:val="C00000"/>
                              <w:szCs w:val="18"/>
                            </w:rPr>
                            <w:t>OFFICIAL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329A9EF1" id="_x0000_t202" coordsize="21600,21600" o:spt="202" path="m,l,21600r21600,l21600,xe">
              <v:stroke joinstyle="miter"/>
              <v:path gradientshapeok="t" o:connecttype="rect"/>
            </v:shapetype>
            <v:shape id="Text Box 1" o:spid="_x0000_s1029" type="#_x0000_t202" style="position:absolute;margin-left:0;margin-top:810.7pt;width:396.85pt;height:28.3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" filled="f" stroked="f" strokeweight=".5pt">
              <v:textbox inset="0,0,0,0">
                <w:txbxContent>
                  <w:p w14:paraId="298F3D93" w14:textId="77777777" w:rsidR="00A72810" w:rsidRDefault="00A72810" w:rsidP="00A72810">
                    <w:pPr>
                      <w:jc w:val="center"/>
                    </w:pPr>
                    <w:r w:rsidRPr="007B4FAA">
                      <w:rPr>
                        <w:b/>
                        <w:color w:val="C00000"/>
                        <w:szCs w:val="18"/>
                      </w:rPr>
                      <w:t>OFFICIAL</w:t>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4D7B83" w14:textId="77777777" w:rsidR="00517E3F" w:rsidRDefault="00517E3F" w:rsidP="00AF7F16">
      <w:r>
        <w:separator/>
      </w:r>
    </w:p>
  </w:footnote>
  <w:footnote w:type="continuationSeparator" w:id="0">
    <w:p w14:paraId="79ABB3D7" w14:textId="77777777" w:rsidR="00517E3F" w:rsidRDefault="00517E3F" w:rsidP="00AF7F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54C30" w14:textId="687B84F6" w:rsidR="00A72810" w:rsidRDefault="00A72810">
    <w:pPr>
      <w:pStyle w:val="Header"/>
    </w:pPr>
    <w:r w:rsidRPr="00A72810">
      <w:rPr>
        <w:noProof/>
        <w:lang w:val="en-US"/>
      </w:rPr>
      <mc:AlternateContent>
        <mc:Choice Requires="wps">
          <w:drawing>
            <wp:anchor distT="0" distB="0" distL="114300" distR="114300" simplePos="0" relativeHeight="251666432" behindDoc="0" locked="0" layoutInCell="1" allowOverlap="1" wp14:anchorId="65A8B64B" wp14:editId="17E033A3">
              <wp:simplePos x="0" y="0"/>
              <wp:positionH relativeFrom="margin">
                <wp:align>center</wp:align>
              </wp:positionH>
              <wp:positionV relativeFrom="topMargin">
                <wp:posOffset>152400</wp:posOffset>
              </wp:positionV>
              <wp:extent cx="5040000" cy="360000"/>
              <wp:effectExtent l="0" t="0" r="8255" b="2540"/>
              <wp:wrapNone/>
              <wp:docPr id="2" name="Text Box 2"/>
              <wp:cNvGraphicFramePr/>
              <a:graphic xmlns:a="http://schemas.openxmlformats.org/drawingml/2006/main">
                <a:graphicData uri="http://schemas.microsoft.com/office/word/2010/wordprocessingShape">
                  <wps:wsp>
                    <wps:cNvSpPr txBox="1"/>
                    <wps:spPr>
                      <a:xfrm>
                        <a:off x="0" y="0"/>
                        <a:ext cx="5040000" cy="360000"/>
                      </a:xfrm>
                      <a:prstGeom prst="rect">
                        <a:avLst/>
                      </a:prstGeom>
                      <a:noFill/>
                      <a:ln w="6350">
                        <a:noFill/>
                      </a:ln>
                    </wps:spPr>
                    <wps:txbx>
                      <w:txbxContent>
                        <w:p w14:paraId="67AFF957" w14:textId="3C1A52CC" w:rsidR="00A72810" w:rsidRDefault="00A72810" w:rsidP="00A72810">
                          <w:pPr>
                            <w:jc w:val="center"/>
                            <w:rPr>
                              <w:b/>
                              <w:color w:val="C00000"/>
                              <w:szCs w:val="18"/>
                            </w:rPr>
                          </w:pPr>
                          <w:r w:rsidRPr="007B4FAA">
                            <w:rPr>
                              <w:b/>
                              <w:color w:val="C00000"/>
                              <w:szCs w:val="18"/>
                            </w:rPr>
                            <w:t>OFFICIAL</w:t>
                          </w:r>
                        </w:p>
                        <w:p w14:paraId="58E741C9" w14:textId="3AD3A884" w:rsidR="00A72810" w:rsidRDefault="00A72810" w:rsidP="00A72810">
                          <w:pPr>
                            <w:jc w:val="center"/>
                            <w:rPr>
                              <w:b/>
                              <w:color w:val="C00000"/>
                              <w:szCs w:val="18"/>
                            </w:rPr>
                          </w:pPr>
                        </w:p>
                        <w:p w14:paraId="64F4AA64" w14:textId="1939A163" w:rsidR="00A72810" w:rsidRDefault="00A72810" w:rsidP="00A72810">
                          <w:pPr>
                            <w:jc w:val="center"/>
                          </w:pPr>
                        </w:p>
                        <w:p w14:paraId="52F10B63" w14:textId="77777777" w:rsidR="00A72810" w:rsidRDefault="00A72810" w:rsidP="00A72810">
                          <w:pPr>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65A8B64B" id="_x0000_t202" coordsize="21600,21600" o:spt="202" path="m,l,21600r21600,l21600,xe">
              <v:stroke joinstyle="miter"/>
              <v:path gradientshapeok="t" o:connecttype="rect"/>
            </v:shapetype>
            <v:shape id="Text Box 2" o:spid="_x0000_s1026" type="#_x0000_t202" style="position:absolute;margin-left:0;margin-top:12pt;width:396.85pt;height:28.3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" filled="f" stroked="f" strokeweight=".5pt">
              <v:textbox inset="0,0,0,0">
                <w:txbxContent>
                  <w:p w14:paraId="67AFF957" w14:textId="3C1A52CC" w:rsidR="00A72810" w:rsidRDefault="00A72810" w:rsidP="00A72810">
                    <w:pPr>
                      <w:jc w:val="center"/>
                      <w:rPr>
                        <w:b/>
                        <w:color w:val="C00000"/>
                        <w:szCs w:val="18"/>
                      </w:rPr>
                    </w:pPr>
                    <w:r w:rsidRPr="007B4FAA">
                      <w:rPr>
                        <w:b/>
                        <w:color w:val="C00000"/>
                        <w:szCs w:val="18"/>
                      </w:rPr>
                      <w:t>OFFICIAL</w:t>
                    </w:r>
                  </w:p>
                  <w:p w14:paraId="58E741C9" w14:textId="3AD3A884" w:rsidR="00A72810" w:rsidRDefault="00A72810" w:rsidP="00A72810">
                    <w:pPr>
                      <w:jc w:val="center"/>
                      <w:rPr>
                        <w:b/>
                        <w:color w:val="C00000"/>
                        <w:szCs w:val="18"/>
                      </w:rPr>
                    </w:pPr>
                  </w:p>
                  <w:p w14:paraId="64F4AA64" w14:textId="1939A163" w:rsidR="00A72810" w:rsidRDefault="00A72810" w:rsidP="00A72810">
                    <w:pPr>
                      <w:jc w:val="center"/>
                    </w:pPr>
                  </w:p>
                  <w:p w14:paraId="52F10B63" w14:textId="77777777" w:rsidR="00A72810" w:rsidRDefault="00A72810" w:rsidP="00A72810">
                    <w:pPr>
                      <w:jc w:val="center"/>
                    </w:pP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5FC93" w14:textId="667AB277" w:rsidR="003B5AC0" w:rsidRDefault="00A72810" w:rsidP="00545EC0">
    <w:pPr>
      <w:pStyle w:val="Header"/>
      <w:tabs>
        <w:tab w:val="clear" w:pos="8640"/>
      </w:tabs>
      <w:ind w:left="-993"/>
    </w:pPr>
    <w:r w:rsidRPr="00A72810">
      <w:rPr>
        <w:noProof/>
        <w:lang w:val="en-US"/>
      </w:rPr>
      <w:drawing>
        <wp:anchor distT="0" distB="0" distL="114300" distR="114300" simplePos="0" relativeHeight="251661312" behindDoc="0" locked="0" layoutInCell="1" allowOverlap="1" wp14:anchorId="1C996093" wp14:editId="5094E031">
          <wp:simplePos x="0" y="0"/>
          <wp:positionH relativeFrom="margin">
            <wp:posOffset>-628650</wp:posOffset>
          </wp:positionH>
          <wp:positionV relativeFrom="paragraph">
            <wp:posOffset>259080</wp:posOffset>
          </wp:positionV>
          <wp:extent cx="7472045" cy="13716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png"/>
                  <pic:cNvPicPr/>
                </pic:nvPicPr>
                <pic:blipFill>
                  <a:blip r:embed="rId1">
                    <a:extLst>
                      <a:ext uri="{28A0092B-C50C-407E-A947-70E740481C1C}">
                        <a14:useLocalDpi xmlns:a14="http://schemas.microsoft.com/office/drawing/2010/main" val="0"/>
                      </a:ext>
                    </a:extLst>
                  </a:blip>
                  <a:stretch>
                    <a:fillRect/>
                  </a:stretch>
                </pic:blipFill>
                <pic:spPr>
                  <a:xfrm>
                    <a:off x="0" y="0"/>
                    <a:ext cx="7472045" cy="1371600"/>
                  </a:xfrm>
                  <a:prstGeom prst="rect">
                    <a:avLst/>
                  </a:prstGeom>
                </pic:spPr>
              </pic:pic>
            </a:graphicData>
          </a:graphic>
          <wp14:sizeRelH relativeFrom="page">
            <wp14:pctWidth>0</wp14:pctWidth>
          </wp14:sizeRelH>
          <wp14:sizeRelV relativeFrom="page">
            <wp14:pctHeight>0</wp14:pctHeight>
          </wp14:sizeRelV>
        </wp:anchor>
      </w:drawing>
    </w:r>
    <w:r w:rsidRPr="00A72810">
      <w:rPr>
        <w:noProof/>
        <w:lang w:val="en-US"/>
      </w:rPr>
      <mc:AlternateContent>
        <mc:Choice Requires="wps">
          <w:drawing>
            <wp:anchor distT="0" distB="0" distL="114300" distR="114300" simplePos="0" relativeHeight="251662336" behindDoc="0" locked="0" layoutInCell="1" allowOverlap="1" wp14:anchorId="6F6C7321" wp14:editId="3D4D1113">
              <wp:simplePos x="0" y="0"/>
              <wp:positionH relativeFrom="page">
                <wp:posOffset>1382395</wp:posOffset>
              </wp:positionH>
              <wp:positionV relativeFrom="topMargin">
                <wp:posOffset>142875</wp:posOffset>
              </wp:positionV>
              <wp:extent cx="5040000" cy="360000"/>
              <wp:effectExtent l="0" t="0" r="8255" b="2540"/>
              <wp:wrapNone/>
              <wp:docPr id="3" name="Text Box 3"/>
              <wp:cNvGraphicFramePr/>
              <a:graphic xmlns:a="http://schemas.openxmlformats.org/drawingml/2006/main">
                <a:graphicData uri="http://schemas.microsoft.com/office/word/2010/wordprocessingShape">
                  <wps:wsp>
                    <wps:cNvSpPr txBox="1"/>
                    <wps:spPr>
                      <a:xfrm>
                        <a:off x="0" y="0"/>
                        <a:ext cx="5040000" cy="360000"/>
                      </a:xfrm>
                      <a:prstGeom prst="rect">
                        <a:avLst/>
                      </a:prstGeom>
                      <a:noFill/>
                      <a:ln w="6350">
                        <a:noFill/>
                      </a:ln>
                    </wps:spPr>
                    <wps:txbx>
                      <w:txbxContent>
                        <w:p w14:paraId="2A47D975" w14:textId="77777777" w:rsidR="00A72810" w:rsidRDefault="00A72810" w:rsidP="00A72810">
                          <w:pPr>
                            <w:jc w:val="center"/>
                          </w:pPr>
                          <w:r w:rsidRPr="007B4FAA">
                            <w:rPr>
                              <w:b/>
                              <w:color w:val="C00000"/>
                              <w:szCs w:val="18"/>
                            </w:rPr>
                            <w:t>OFFICIAL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6F6C7321" id="_x0000_t202" coordsize="21600,21600" o:spt="202" path="m,l,21600r21600,l21600,xe">
              <v:stroke joinstyle="miter"/>
              <v:path gradientshapeok="t" o:connecttype="rect"/>
            </v:shapetype>
            <v:shape id="Text Box 3" o:spid="_x0000_s1028" type="#_x0000_t202" style="position:absolute;left:0;text-align:left;margin-left:108.85pt;margin-top:11.25pt;width:396.85pt;height:28.3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" filled="f" stroked="f" strokeweight=".5pt">
              <v:textbox inset="0,0,0,0">
                <w:txbxContent>
                  <w:p w14:paraId="2A47D975" w14:textId="77777777" w:rsidR="00A72810" w:rsidRDefault="00A72810" w:rsidP="00A72810">
                    <w:pPr>
                      <w:jc w:val="center"/>
                    </w:pPr>
                    <w:r w:rsidRPr="007B4FAA">
                      <w:rPr>
                        <w:b/>
                        <w:color w:val="C00000"/>
                        <w:szCs w:val="18"/>
                      </w:rPr>
                      <w:t>OFFICIAL</w:t>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1CE2D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D4805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B0AB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4B2D9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8C89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A83B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D08BD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4C5E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2AC8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38D8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4B5A13"/>
    <w:multiLevelType w:val="hybridMultilevel"/>
    <w:tmpl w:val="B3A09C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5AA31BA"/>
    <w:multiLevelType w:val="hybridMultilevel"/>
    <w:tmpl w:val="CE6C7D08"/>
    <w:lvl w:ilvl="0" w:tplc="1D162A1C">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28571AC"/>
    <w:multiLevelType w:val="hybridMultilevel"/>
    <w:tmpl w:val="236E7CE2"/>
    <w:lvl w:ilvl="0" w:tplc="1E866C64">
      <w:start w:val="1"/>
      <w:numFmt w:val="decimal"/>
      <w:pStyle w:val="Numbered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84937E3"/>
    <w:multiLevelType w:val="hybridMultilevel"/>
    <w:tmpl w:val="5A54D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CB1399"/>
    <w:multiLevelType w:val="hybridMultilevel"/>
    <w:tmpl w:val="18B07892"/>
    <w:lvl w:ilvl="0" w:tplc="5E04155C">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4"/>
  </w:num>
  <w:num w:numId="2">
    <w:abstractNumId w:val="11"/>
  </w:num>
  <w:num w:numId="3">
    <w:abstractNumId w:val="12"/>
  </w:num>
  <w:num w:numId="4">
    <w:abstractNumId w:val="9"/>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1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95F"/>
    <w:rsid w:val="00004660"/>
    <w:rsid w:val="00025EA1"/>
    <w:rsid w:val="00030D16"/>
    <w:rsid w:val="00074592"/>
    <w:rsid w:val="00084360"/>
    <w:rsid w:val="000A7301"/>
    <w:rsid w:val="000F4860"/>
    <w:rsid w:val="001043B7"/>
    <w:rsid w:val="001135E1"/>
    <w:rsid w:val="00133879"/>
    <w:rsid w:val="00143C32"/>
    <w:rsid w:val="0017021E"/>
    <w:rsid w:val="00172576"/>
    <w:rsid w:val="001A1918"/>
    <w:rsid w:val="001A46FD"/>
    <w:rsid w:val="001A7DD7"/>
    <w:rsid w:val="001D5D67"/>
    <w:rsid w:val="001E0EA8"/>
    <w:rsid w:val="00212870"/>
    <w:rsid w:val="00212945"/>
    <w:rsid w:val="0026074C"/>
    <w:rsid w:val="00284B34"/>
    <w:rsid w:val="00285524"/>
    <w:rsid w:val="002859B5"/>
    <w:rsid w:val="00291DD0"/>
    <w:rsid w:val="002A3288"/>
    <w:rsid w:val="002D60F4"/>
    <w:rsid w:val="002E0A93"/>
    <w:rsid w:val="002F166C"/>
    <w:rsid w:val="002F6E4E"/>
    <w:rsid w:val="00306E8E"/>
    <w:rsid w:val="0031595F"/>
    <w:rsid w:val="003233C4"/>
    <w:rsid w:val="00324804"/>
    <w:rsid w:val="00324C35"/>
    <w:rsid w:val="00336C9F"/>
    <w:rsid w:val="00336DE8"/>
    <w:rsid w:val="00340461"/>
    <w:rsid w:val="00354CF4"/>
    <w:rsid w:val="00397BB1"/>
    <w:rsid w:val="003B5AC0"/>
    <w:rsid w:val="003E0EC1"/>
    <w:rsid w:val="003F2DFB"/>
    <w:rsid w:val="00412E2D"/>
    <w:rsid w:val="00417C99"/>
    <w:rsid w:val="00450A47"/>
    <w:rsid w:val="004669FB"/>
    <w:rsid w:val="00477C43"/>
    <w:rsid w:val="004D5F40"/>
    <w:rsid w:val="004F1F6E"/>
    <w:rsid w:val="004F23B4"/>
    <w:rsid w:val="005079A5"/>
    <w:rsid w:val="00517E3F"/>
    <w:rsid w:val="005262B9"/>
    <w:rsid w:val="00537998"/>
    <w:rsid w:val="00545EC0"/>
    <w:rsid w:val="00566BCB"/>
    <w:rsid w:val="0056717F"/>
    <w:rsid w:val="00575358"/>
    <w:rsid w:val="00585FD0"/>
    <w:rsid w:val="0059742B"/>
    <w:rsid w:val="005B045E"/>
    <w:rsid w:val="005E1CCB"/>
    <w:rsid w:val="005F2F62"/>
    <w:rsid w:val="005F3700"/>
    <w:rsid w:val="00621676"/>
    <w:rsid w:val="006335ED"/>
    <w:rsid w:val="00634963"/>
    <w:rsid w:val="006446E4"/>
    <w:rsid w:val="00647083"/>
    <w:rsid w:val="00656BB5"/>
    <w:rsid w:val="00661EB5"/>
    <w:rsid w:val="00662B3D"/>
    <w:rsid w:val="00663AB2"/>
    <w:rsid w:val="00670778"/>
    <w:rsid w:val="006A1C31"/>
    <w:rsid w:val="006C0CCF"/>
    <w:rsid w:val="006C5662"/>
    <w:rsid w:val="006D3A4C"/>
    <w:rsid w:val="006E6195"/>
    <w:rsid w:val="00710B59"/>
    <w:rsid w:val="0072288E"/>
    <w:rsid w:val="00724E9F"/>
    <w:rsid w:val="00727F38"/>
    <w:rsid w:val="00747C07"/>
    <w:rsid w:val="00750584"/>
    <w:rsid w:val="00752F55"/>
    <w:rsid w:val="00780AB8"/>
    <w:rsid w:val="00787875"/>
    <w:rsid w:val="007A1000"/>
    <w:rsid w:val="007C3140"/>
    <w:rsid w:val="007C38B8"/>
    <w:rsid w:val="007E0FBE"/>
    <w:rsid w:val="007F3695"/>
    <w:rsid w:val="007F469B"/>
    <w:rsid w:val="007F5E7C"/>
    <w:rsid w:val="008005B5"/>
    <w:rsid w:val="00841462"/>
    <w:rsid w:val="0084633D"/>
    <w:rsid w:val="0085065A"/>
    <w:rsid w:val="008661F2"/>
    <w:rsid w:val="008915D1"/>
    <w:rsid w:val="008A18A5"/>
    <w:rsid w:val="008A5B3A"/>
    <w:rsid w:val="008A6C7C"/>
    <w:rsid w:val="008F226D"/>
    <w:rsid w:val="008F7591"/>
    <w:rsid w:val="00920F4C"/>
    <w:rsid w:val="00933A1D"/>
    <w:rsid w:val="00937A73"/>
    <w:rsid w:val="00981627"/>
    <w:rsid w:val="00996376"/>
    <w:rsid w:val="00997F44"/>
    <w:rsid w:val="009D7060"/>
    <w:rsid w:val="009D7D9A"/>
    <w:rsid w:val="009E32A5"/>
    <w:rsid w:val="00A15919"/>
    <w:rsid w:val="00A5740B"/>
    <w:rsid w:val="00A72810"/>
    <w:rsid w:val="00A8308C"/>
    <w:rsid w:val="00A86F6C"/>
    <w:rsid w:val="00AA11EE"/>
    <w:rsid w:val="00AA6103"/>
    <w:rsid w:val="00AB7D4D"/>
    <w:rsid w:val="00AC1059"/>
    <w:rsid w:val="00AC2019"/>
    <w:rsid w:val="00AC730E"/>
    <w:rsid w:val="00AD26EE"/>
    <w:rsid w:val="00AD4171"/>
    <w:rsid w:val="00AE4F03"/>
    <w:rsid w:val="00AE73F3"/>
    <w:rsid w:val="00AF7F16"/>
    <w:rsid w:val="00B00277"/>
    <w:rsid w:val="00B21C3A"/>
    <w:rsid w:val="00B33A04"/>
    <w:rsid w:val="00B64F05"/>
    <w:rsid w:val="00BE1653"/>
    <w:rsid w:val="00C173CB"/>
    <w:rsid w:val="00C3240A"/>
    <w:rsid w:val="00C850E4"/>
    <w:rsid w:val="00CA03FB"/>
    <w:rsid w:val="00CD4126"/>
    <w:rsid w:val="00CF0A46"/>
    <w:rsid w:val="00CF0B15"/>
    <w:rsid w:val="00D11EDC"/>
    <w:rsid w:val="00D12D6C"/>
    <w:rsid w:val="00D542FC"/>
    <w:rsid w:val="00D570B7"/>
    <w:rsid w:val="00D64278"/>
    <w:rsid w:val="00D70FFA"/>
    <w:rsid w:val="00D76CAD"/>
    <w:rsid w:val="00D83B28"/>
    <w:rsid w:val="00D95C4B"/>
    <w:rsid w:val="00DB073B"/>
    <w:rsid w:val="00DD1AC8"/>
    <w:rsid w:val="00DD358E"/>
    <w:rsid w:val="00DF55DD"/>
    <w:rsid w:val="00E101C5"/>
    <w:rsid w:val="00E12662"/>
    <w:rsid w:val="00E20E1E"/>
    <w:rsid w:val="00E2182E"/>
    <w:rsid w:val="00E401AC"/>
    <w:rsid w:val="00E40E73"/>
    <w:rsid w:val="00E45F67"/>
    <w:rsid w:val="00E519CB"/>
    <w:rsid w:val="00E5702C"/>
    <w:rsid w:val="00E61F11"/>
    <w:rsid w:val="00E72A73"/>
    <w:rsid w:val="00E83FBC"/>
    <w:rsid w:val="00EC159C"/>
    <w:rsid w:val="00F27EC5"/>
    <w:rsid w:val="00F32317"/>
    <w:rsid w:val="00F60D07"/>
    <w:rsid w:val="00F83567"/>
    <w:rsid w:val="00F87A29"/>
    <w:rsid w:val="00F97D5A"/>
    <w:rsid w:val="00FB577D"/>
    <w:rsid w:val="00FB5CA4"/>
    <w:rsid w:val="00FD470E"/>
    <w:rsid w:val="00FE4FC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92E3E3"/>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theme="minorBidi"/>
        <w:sz w:val="22"/>
        <w:szCs w:val="22"/>
        <w:lang w:val="en-AU" w:eastAsia="en-US" w:bidi="ar-SA"/>
      </w:rPr>
    </w:rPrDefault>
    <w:pPrDefault/>
  </w:docDefaults>
  <w:latentStyles w:defLockedState="0" w:defUIPriority="98"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8" w:unhideWhenUsed="1" w:qFormat="1"/>
    <w:lsdException w:name="heading 5" w:semiHidden="1" w:uiPriority="8" w:unhideWhenUsed="1" w:qFormat="1"/>
    <w:lsdException w:name="heading 6" w:semiHidden="1" w:uiPriority="8" w:unhideWhenUsed="1" w:qFormat="1"/>
    <w:lsdException w:name="heading 7" w:semiHidden="1" w:uiPriority="8" w:unhideWhenUsed="1" w:qFormat="1"/>
    <w:lsdException w:name="heading 8" w:semiHidden="1" w:uiPriority="8" w:unhideWhenUsed="1" w:qFormat="1"/>
    <w:lsdException w:name="heading 9" w:semiHidden="1" w:uiPriority="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8" w:unhideWhenUsed="1"/>
    <w:lsdException w:name="toc 4" w:semiHidden="1" w:uiPriority="38" w:unhideWhenUsed="1"/>
    <w:lsdException w:name="toc 5" w:semiHidden="1" w:uiPriority="38" w:unhideWhenUsed="1"/>
    <w:lsdException w:name="toc 6" w:semiHidden="1" w:uiPriority="38" w:unhideWhenUsed="1"/>
    <w:lsdException w:name="toc 7" w:semiHidden="1" w:uiPriority="38" w:unhideWhenUsed="1"/>
    <w:lsdException w:name="toc 8" w:semiHidden="1" w:uiPriority="38" w:unhideWhenUsed="1"/>
    <w:lsdException w:name="toc 9" w:semiHidden="1" w:uiPriority="38"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4"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1"/>
    <w:lsdException w:name="Emphasis" w:uiPriority="19"/>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8"/>
    <w:lsdException w:name="Intense Quote" w:uiPriority="2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0"/>
    <w:lsdException w:name="Subtle Reference" w:uiPriority="30"/>
    <w:lsdException w:name="Intense Reference" w:uiPriority="31"/>
    <w:lsdException w:name="Book Title" w:uiPriority="32"/>
    <w:lsdException w:name="Bibliography" w:semiHidden="1" w:uiPriority="36" w:unhideWhenUsed="1"/>
    <w:lsdException w:name="TOC Heading" w:semiHidden="1" w:uiPriority="39" w:unhideWhenUsed="1" w:qFormat="1"/>
    <w:lsdException w:name="Plain Table 1" w:uiPriority="99"/>
    <w:lsdException w:name="Plain Table 2" w:uiPriority="99"/>
    <w:lsdException w:name="Plain Table 3" w:uiPriority="99"/>
    <w:lsdException w:name="Plain Table 4" w:uiPriority="99"/>
    <w:lsdException w:name="Plain Table 5" w:uiPriority="99"/>
    <w:lsdException w:name="Grid Table Light" w:uiPriority="99"/>
    <w:lsdException w:name="Grid Table 1 Light" w:uiPriority="99"/>
    <w:lsdException w:name="Grid Table 2" w:uiPriority="99"/>
    <w:lsdException w:name="Grid Table 3" w:uiPriority="99"/>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F23B4"/>
    <w:pPr>
      <w:spacing w:after="200" w:line="280" w:lineRule="exact"/>
    </w:pPr>
  </w:style>
  <w:style w:type="paragraph" w:styleId="Heading1">
    <w:name w:val="heading 1"/>
    <w:link w:val="Heading1Char"/>
    <w:autoRedefine/>
    <w:qFormat/>
    <w:rsid w:val="00340461"/>
    <w:pPr>
      <w:spacing w:before="320" w:after="120"/>
      <w:ind w:right="-618"/>
      <w:outlineLvl w:val="0"/>
    </w:pPr>
    <w:rPr>
      <w:rFonts w:eastAsia="Times New Roman" w:cs="Times New Roman"/>
      <w:b/>
      <w:bCs/>
      <w:noProof/>
      <w:sz w:val="28"/>
    </w:rPr>
  </w:style>
  <w:style w:type="paragraph" w:styleId="Heading2">
    <w:name w:val="heading 2"/>
    <w:basedOn w:val="Normal"/>
    <w:next w:val="Normal"/>
    <w:link w:val="Heading2Char"/>
    <w:autoRedefine/>
    <w:unhideWhenUsed/>
    <w:qFormat/>
    <w:rsid w:val="00340461"/>
    <w:pPr>
      <w:keepNext/>
      <w:keepLines/>
      <w:spacing w:before="360" w:after="12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8"/>
    <w:unhideWhenUsed/>
    <w:qFormat/>
    <w:rsid w:val="006C0CCF"/>
    <w:pPr>
      <w:keepNext/>
      <w:keepLines/>
      <w:spacing w:before="40" w:after="0"/>
      <w:outlineLvl w:val="2"/>
    </w:pPr>
    <w:rPr>
      <w:rFonts w:asciiTheme="majorHAnsi" w:eastAsiaTheme="majorEastAsia" w:hAnsiTheme="majorHAnsi" w:cstheme="majorBidi"/>
      <w:color w:val="3F3F3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0461"/>
    <w:rPr>
      <w:rFonts w:eastAsia="Times New Roman" w:cs="Times New Roman"/>
      <w:b/>
      <w:bCs/>
      <w:noProof/>
      <w:sz w:val="28"/>
    </w:rPr>
  </w:style>
  <w:style w:type="paragraph" w:customStyle="1" w:styleId="IntroParagraph">
    <w:name w:val="Intro Paragraph"/>
    <w:link w:val="IntroParagraphChar"/>
    <w:autoRedefine/>
    <w:qFormat/>
    <w:rsid w:val="00DB073B"/>
    <w:pPr>
      <w:spacing w:before="120" w:after="240"/>
      <w:ind w:right="34"/>
    </w:pPr>
    <w:rPr>
      <w:rFonts w:eastAsia="Times New Roman" w:cs="Times New Roman"/>
      <w:color w:val="7F7F7F" w:themeColor="text1" w:themeTint="80"/>
      <w:sz w:val="32"/>
      <w:szCs w:val="30"/>
    </w:rPr>
  </w:style>
  <w:style w:type="paragraph" w:customStyle="1" w:styleId="DPCBodyHeading">
    <w:name w:val="DPC Body Heading"/>
    <w:next w:val="Normal"/>
    <w:autoRedefine/>
    <w:rsid w:val="006C5662"/>
    <w:pPr>
      <w:spacing w:after="240" w:line="280" w:lineRule="atLeast"/>
      <w:ind w:right="-618"/>
    </w:pPr>
    <w:rPr>
      <w:rFonts w:eastAsiaTheme="majorEastAsia" w:cstheme="majorBidi"/>
      <w:bCs/>
      <w:sz w:val="20"/>
      <w:szCs w:val="20"/>
    </w:rPr>
  </w:style>
  <w:style w:type="paragraph" w:customStyle="1" w:styleId="-Normal-">
    <w:name w:val="-Normal-"/>
    <w:autoRedefine/>
    <w:qFormat/>
    <w:rsid w:val="00F32317"/>
    <w:pPr>
      <w:spacing w:before="200" w:after="200" w:line="280" w:lineRule="exact"/>
      <w:ind w:right="34"/>
    </w:pPr>
    <w:rPr>
      <w:rFonts w:eastAsia="Times New Roman" w:cs="Times New Roman"/>
      <w:color w:val="000000" w:themeColor="text1"/>
      <w:szCs w:val="20"/>
      <w:lang w:eastAsia="en-AU"/>
    </w:rPr>
  </w:style>
  <w:style w:type="paragraph" w:styleId="Header">
    <w:name w:val="header"/>
    <w:basedOn w:val="Normal"/>
    <w:link w:val="HeaderChar"/>
    <w:uiPriority w:val="98"/>
    <w:unhideWhenUsed/>
    <w:rsid w:val="00AF7F16"/>
    <w:pPr>
      <w:tabs>
        <w:tab w:val="center" w:pos="4320"/>
        <w:tab w:val="right" w:pos="8640"/>
      </w:tabs>
      <w:spacing w:after="0" w:line="240" w:lineRule="auto"/>
    </w:pPr>
  </w:style>
  <w:style w:type="character" w:customStyle="1" w:styleId="HeaderChar">
    <w:name w:val="Header Char"/>
    <w:basedOn w:val="DefaultParagraphFont"/>
    <w:link w:val="Header"/>
    <w:uiPriority w:val="98"/>
    <w:rsid w:val="00663AB2"/>
  </w:style>
  <w:style w:type="paragraph" w:styleId="Footer">
    <w:name w:val="footer"/>
    <w:basedOn w:val="Normal"/>
    <w:link w:val="FooterChar"/>
    <w:uiPriority w:val="98"/>
    <w:unhideWhenUsed/>
    <w:rsid w:val="00AF7F16"/>
    <w:pPr>
      <w:tabs>
        <w:tab w:val="center" w:pos="4320"/>
        <w:tab w:val="right" w:pos="8640"/>
      </w:tabs>
      <w:spacing w:after="0" w:line="240" w:lineRule="auto"/>
    </w:pPr>
  </w:style>
  <w:style w:type="character" w:customStyle="1" w:styleId="FooterChar">
    <w:name w:val="Footer Char"/>
    <w:basedOn w:val="DefaultParagraphFont"/>
    <w:link w:val="Footer"/>
    <w:uiPriority w:val="98"/>
    <w:rsid w:val="00663AB2"/>
  </w:style>
  <w:style w:type="paragraph" w:styleId="BalloonText">
    <w:name w:val="Balloon Text"/>
    <w:basedOn w:val="Normal"/>
    <w:link w:val="BalloonTextChar"/>
    <w:uiPriority w:val="98"/>
    <w:semiHidden/>
    <w:unhideWhenUsed/>
    <w:rsid w:val="00AF7F1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8"/>
    <w:semiHidden/>
    <w:rsid w:val="00663AB2"/>
    <w:rPr>
      <w:rFonts w:ascii="Lucida Grande" w:hAnsi="Lucida Grande" w:cs="Lucida Grande"/>
      <w:sz w:val="18"/>
      <w:szCs w:val="18"/>
    </w:rPr>
  </w:style>
  <w:style w:type="paragraph" w:customStyle="1" w:styleId="IntroHeading">
    <w:name w:val="Intro Heading"/>
    <w:autoRedefine/>
    <w:qFormat/>
    <w:rsid w:val="00E101C5"/>
    <w:pPr>
      <w:spacing w:before="240" w:after="120"/>
    </w:pPr>
    <w:rPr>
      <w:rFonts w:eastAsiaTheme="majorEastAsia" w:cs="Times New Roman"/>
      <w:b/>
      <w:bCs/>
      <w:color w:val="595959" w:themeColor="text1" w:themeTint="A6"/>
      <w:sz w:val="32"/>
      <w:szCs w:val="30"/>
    </w:rPr>
  </w:style>
  <w:style w:type="character" w:customStyle="1" w:styleId="IntroParagraphChar">
    <w:name w:val="Intro Paragraph Char"/>
    <w:basedOn w:val="DefaultParagraphFont"/>
    <w:link w:val="IntroParagraph"/>
    <w:rsid w:val="00DB073B"/>
    <w:rPr>
      <w:rFonts w:eastAsia="Times New Roman" w:cs="Times New Roman"/>
      <w:color w:val="7F7F7F" w:themeColor="text1" w:themeTint="80"/>
      <w:sz w:val="32"/>
      <w:szCs w:val="30"/>
    </w:rPr>
  </w:style>
  <w:style w:type="character" w:styleId="Hyperlink">
    <w:name w:val="Hyperlink"/>
    <w:rsid w:val="00566BCB"/>
    <w:rPr>
      <w:color w:val="3366CC"/>
      <w:u w:val="none"/>
      <w:lang w:eastAsia="en-AU"/>
    </w:rPr>
  </w:style>
  <w:style w:type="paragraph" w:customStyle="1" w:styleId="DPCDate">
    <w:name w:val="DPC Date"/>
    <w:basedOn w:val="Heading1"/>
    <w:autoRedefine/>
    <w:rsid w:val="00A86F6C"/>
    <w:pPr>
      <w:spacing w:before="240" w:after="240"/>
    </w:pPr>
    <w:rPr>
      <w:b w:val="0"/>
    </w:rPr>
  </w:style>
  <w:style w:type="table" w:styleId="TableGrid">
    <w:name w:val="Table Grid"/>
    <w:basedOn w:val="TableNormal"/>
    <w:uiPriority w:val="59"/>
    <w:rsid w:val="00417C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8"/>
    <w:rsid w:val="00340461"/>
    <w:rPr>
      <w:rFonts w:eastAsiaTheme="majorEastAsia" w:cstheme="majorBidi"/>
      <w:b/>
      <w:color w:val="000000" w:themeColor="text1"/>
      <w:szCs w:val="26"/>
    </w:rPr>
  </w:style>
  <w:style w:type="paragraph" w:styleId="Title">
    <w:name w:val="Title"/>
    <w:basedOn w:val="Normal"/>
    <w:next w:val="Normal"/>
    <w:link w:val="TitleChar"/>
    <w:autoRedefine/>
    <w:qFormat/>
    <w:rsid w:val="00133879"/>
    <w:pPr>
      <w:spacing w:before="360" w:after="360" w:line="240" w:lineRule="auto"/>
      <w:contextualSpacing/>
    </w:pPr>
    <w:rPr>
      <w:rFonts w:eastAsiaTheme="majorEastAsia" w:cstheme="majorBidi"/>
      <w:b/>
      <w:color w:val="004B88"/>
      <w:spacing w:val="-10"/>
      <w:kern w:val="28"/>
      <w:sz w:val="52"/>
      <w:szCs w:val="56"/>
    </w:rPr>
  </w:style>
  <w:style w:type="character" w:customStyle="1" w:styleId="TitleChar">
    <w:name w:val="Title Char"/>
    <w:basedOn w:val="DefaultParagraphFont"/>
    <w:link w:val="Title"/>
    <w:rsid w:val="00133879"/>
    <w:rPr>
      <w:rFonts w:eastAsiaTheme="majorEastAsia" w:cstheme="majorBidi"/>
      <w:b/>
      <w:color w:val="004B88"/>
      <w:spacing w:val="-10"/>
      <w:kern w:val="28"/>
      <w:sz w:val="52"/>
      <w:szCs w:val="56"/>
    </w:rPr>
  </w:style>
  <w:style w:type="paragraph" w:styleId="ListParagraph">
    <w:name w:val="List Paragraph"/>
    <w:aliases w:val="Bullet Point List"/>
    <w:basedOn w:val="Normal"/>
    <w:link w:val="ListParagraphChar"/>
    <w:autoRedefine/>
    <w:uiPriority w:val="34"/>
    <w:qFormat/>
    <w:rsid w:val="00710B59"/>
    <w:pPr>
      <w:numPr>
        <w:numId w:val="2"/>
      </w:numPr>
      <w:spacing w:before="120" w:after="120" w:line="240" w:lineRule="auto"/>
      <w:ind w:left="568" w:hanging="284"/>
    </w:pPr>
    <w:rPr>
      <w:u w:val="single"/>
    </w:rPr>
  </w:style>
  <w:style w:type="character" w:customStyle="1" w:styleId="Heading3Char">
    <w:name w:val="Heading 3 Char"/>
    <w:basedOn w:val="DefaultParagraphFont"/>
    <w:link w:val="Heading3"/>
    <w:uiPriority w:val="8"/>
    <w:rsid w:val="00663AB2"/>
    <w:rPr>
      <w:rFonts w:asciiTheme="majorHAnsi" w:eastAsiaTheme="majorEastAsia" w:hAnsiTheme="majorHAnsi" w:cstheme="majorBidi"/>
      <w:color w:val="3F3F3F" w:themeColor="accent1" w:themeShade="7F"/>
    </w:rPr>
  </w:style>
  <w:style w:type="paragraph" w:customStyle="1" w:styleId="NormalText">
    <w:name w:val="Normal Text"/>
    <w:autoRedefine/>
    <w:rsid w:val="002F6E4E"/>
    <w:pPr>
      <w:spacing w:after="200" w:line="280" w:lineRule="exact"/>
      <w:ind w:right="34"/>
    </w:pPr>
    <w:rPr>
      <w:rFonts w:eastAsia="Times New Roman" w:cs="Times New Roman"/>
      <w:szCs w:val="20"/>
    </w:rPr>
  </w:style>
  <w:style w:type="table" w:styleId="PlainTable2">
    <w:name w:val="Plain Table 2"/>
    <w:aliases w:val="DPC Grid Table"/>
    <w:basedOn w:val="TableNormal"/>
    <w:uiPriority w:val="99"/>
    <w:rsid w:val="00417C99"/>
    <w:pPr>
      <w:spacing w:before="80" w:after="80" w:line="280" w:lineRule="exact"/>
    </w:pPr>
    <w:tblPr>
      <w:tblStyleRowBandSize w:val="1"/>
      <w:tblStyleColBandSize w:val="1"/>
      <w:tblBorders>
        <w:top w:val="single" w:sz="12" w:space="0" w:color="auto"/>
        <w:bottom w:val="single" w:sz="6" w:space="0" w:color="auto"/>
        <w:insideH w:val="single" w:sz="6" w:space="0" w:color="BFBFBF" w:themeColor="background1" w:themeShade="BF"/>
        <w:insideV w:val="single" w:sz="6" w:space="0" w:color="BFBFBF" w:themeColor="background1" w:themeShade="BF"/>
      </w:tblBorders>
    </w:tblPr>
    <w:tblStylePr w:type="firstRow">
      <w:rPr>
        <w:rFonts w:ascii="Arial" w:hAnsi="Arial"/>
        <w:b/>
        <w:bCs/>
        <w:sz w:val="22"/>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NumberedList">
    <w:name w:val="Numbered List"/>
    <w:link w:val="NumberedListChar"/>
    <w:qFormat/>
    <w:rsid w:val="003E0EC1"/>
    <w:pPr>
      <w:numPr>
        <w:numId w:val="3"/>
      </w:numPr>
      <w:spacing w:before="200" w:after="240"/>
      <w:ind w:left="714" w:hanging="357"/>
    </w:pPr>
    <w:rPr>
      <w:rFonts w:eastAsia="Times New Roman" w:cs="Times New Roman"/>
      <w:bCs/>
      <w:noProof/>
    </w:rPr>
  </w:style>
  <w:style w:type="character" w:customStyle="1" w:styleId="NumberedListChar">
    <w:name w:val="Numbered List Char"/>
    <w:basedOn w:val="DefaultParagraphFont"/>
    <w:link w:val="NumberedList"/>
    <w:rsid w:val="003E0EC1"/>
    <w:rPr>
      <w:rFonts w:ascii="Arial" w:eastAsia="Times New Roman" w:hAnsi="Arial" w:cs="Times New Roman"/>
      <w:bCs/>
      <w:noProof/>
      <w:sz w:val="22"/>
      <w:szCs w:val="22"/>
    </w:rPr>
  </w:style>
  <w:style w:type="paragraph" w:styleId="TOCHeading">
    <w:name w:val="TOC Heading"/>
    <w:basedOn w:val="Heading1"/>
    <w:next w:val="Normal"/>
    <w:uiPriority w:val="38"/>
    <w:unhideWhenUsed/>
    <w:qFormat/>
    <w:rsid w:val="00E45F67"/>
    <w:pPr>
      <w:keepNext/>
      <w:keepLines/>
      <w:spacing w:before="240" w:after="0" w:line="259" w:lineRule="auto"/>
      <w:ind w:right="0"/>
      <w:outlineLvl w:val="9"/>
    </w:pPr>
    <w:rPr>
      <w:rFonts w:asciiTheme="majorHAnsi" w:eastAsiaTheme="majorEastAsia" w:hAnsiTheme="majorHAnsi" w:cstheme="majorBidi"/>
      <w:b w:val="0"/>
      <w:bCs w:val="0"/>
      <w:noProof w:val="0"/>
      <w:color w:val="5F5F5F" w:themeColor="accent1" w:themeShade="BF"/>
      <w:sz w:val="32"/>
      <w:szCs w:val="32"/>
      <w:lang w:val="en-US"/>
    </w:rPr>
  </w:style>
  <w:style w:type="paragraph" w:styleId="TOC1">
    <w:name w:val="toc 1"/>
    <w:basedOn w:val="Normal"/>
    <w:next w:val="Normal"/>
    <w:link w:val="TOC1Char"/>
    <w:autoRedefine/>
    <w:uiPriority w:val="38"/>
    <w:unhideWhenUsed/>
    <w:rsid w:val="00AD26EE"/>
    <w:pPr>
      <w:spacing w:after="100"/>
    </w:pPr>
    <w:rPr>
      <w:b/>
    </w:rPr>
  </w:style>
  <w:style w:type="paragraph" w:styleId="TOC2">
    <w:name w:val="toc 2"/>
    <w:basedOn w:val="Normal"/>
    <w:next w:val="Normal"/>
    <w:autoRedefine/>
    <w:uiPriority w:val="38"/>
    <w:unhideWhenUsed/>
    <w:rsid w:val="00E45F67"/>
    <w:pPr>
      <w:spacing w:after="100"/>
      <w:ind w:left="220"/>
    </w:pPr>
  </w:style>
  <w:style w:type="paragraph" w:customStyle="1" w:styleId="TOCTitle">
    <w:name w:val="TOC Title"/>
    <w:basedOn w:val="TOC1"/>
    <w:link w:val="TOCTitleChar"/>
    <w:qFormat/>
    <w:rsid w:val="00933A1D"/>
    <w:pPr>
      <w:tabs>
        <w:tab w:val="right" w:leader="dot" w:pos="9629"/>
      </w:tabs>
    </w:pPr>
    <w:rPr>
      <w:b w:val="0"/>
      <w:noProof/>
      <w:sz w:val="28"/>
    </w:rPr>
  </w:style>
  <w:style w:type="paragraph" w:customStyle="1" w:styleId="Bold">
    <w:name w:val="Bold"/>
    <w:basedOn w:val="TOC1"/>
    <w:link w:val="BoldChar"/>
    <w:autoRedefine/>
    <w:qFormat/>
    <w:rsid w:val="00AD26EE"/>
    <w:pPr>
      <w:tabs>
        <w:tab w:val="right" w:leader="dot" w:pos="9629"/>
      </w:tabs>
    </w:pPr>
    <w:rPr>
      <w:noProof/>
      <w:sz w:val="28"/>
    </w:rPr>
  </w:style>
  <w:style w:type="character" w:customStyle="1" w:styleId="TOC1Char">
    <w:name w:val="TOC 1 Char"/>
    <w:basedOn w:val="DefaultParagraphFont"/>
    <w:link w:val="TOC1"/>
    <w:uiPriority w:val="38"/>
    <w:rsid w:val="00663AB2"/>
    <w:rPr>
      <w:b/>
    </w:rPr>
  </w:style>
  <w:style w:type="character" w:customStyle="1" w:styleId="TOCTitleChar">
    <w:name w:val="TOC Title Char"/>
    <w:basedOn w:val="TOC1Char"/>
    <w:link w:val="TOCTitle"/>
    <w:rsid w:val="00933A1D"/>
    <w:rPr>
      <w:rFonts w:ascii="Arial" w:eastAsia="Times New Roman" w:hAnsi="Arial" w:cs="Times New Roman"/>
      <w:b w:val="0"/>
      <w:noProof/>
      <w:sz w:val="28"/>
    </w:rPr>
  </w:style>
  <w:style w:type="character" w:customStyle="1" w:styleId="BoldChar">
    <w:name w:val="Bold Char"/>
    <w:basedOn w:val="TOC1Char"/>
    <w:link w:val="Bold"/>
    <w:rsid w:val="00AD26EE"/>
    <w:rPr>
      <w:rFonts w:ascii="Arial" w:hAnsi="Arial"/>
      <w:b/>
      <w:noProof/>
      <w:sz w:val="28"/>
    </w:rPr>
  </w:style>
  <w:style w:type="paragraph" w:customStyle="1" w:styleId="TOCHeading1">
    <w:name w:val="TOC Heading 1"/>
    <w:basedOn w:val="TOC1"/>
    <w:link w:val="TOCHeading1Char"/>
    <w:qFormat/>
    <w:rsid w:val="00933A1D"/>
    <w:pPr>
      <w:tabs>
        <w:tab w:val="right" w:leader="dot" w:pos="9770"/>
      </w:tabs>
    </w:pPr>
    <w:rPr>
      <w:b w:val="0"/>
      <w:noProof/>
    </w:rPr>
  </w:style>
  <w:style w:type="paragraph" w:customStyle="1" w:styleId="TOCHeading2">
    <w:name w:val="TOC Heading 2"/>
    <w:basedOn w:val="TOC1"/>
    <w:link w:val="TOCHeading2Char"/>
    <w:qFormat/>
    <w:rsid w:val="00933A1D"/>
    <w:pPr>
      <w:tabs>
        <w:tab w:val="right" w:leader="dot" w:pos="9770"/>
      </w:tabs>
    </w:pPr>
  </w:style>
  <w:style w:type="character" w:customStyle="1" w:styleId="TOCHeading1Char">
    <w:name w:val="TOC Heading 1 Char"/>
    <w:basedOn w:val="TOC1Char"/>
    <w:link w:val="TOCHeading1"/>
    <w:rsid w:val="00933A1D"/>
    <w:rPr>
      <w:rFonts w:ascii="Arial" w:eastAsia="Times New Roman" w:hAnsi="Arial" w:cs="Times New Roman"/>
      <w:b w:val="0"/>
      <w:noProof/>
      <w:sz w:val="22"/>
    </w:rPr>
  </w:style>
  <w:style w:type="character" w:customStyle="1" w:styleId="TOCHeading2Char">
    <w:name w:val="TOC Heading 2 Char"/>
    <w:basedOn w:val="TOC1Char"/>
    <w:link w:val="TOCHeading2"/>
    <w:rsid w:val="00933A1D"/>
    <w:rPr>
      <w:rFonts w:ascii="Arial" w:eastAsia="Times New Roman" w:hAnsi="Arial" w:cs="Times New Roman"/>
      <w:b/>
      <w:sz w:val="22"/>
    </w:rPr>
  </w:style>
  <w:style w:type="paragraph" w:customStyle="1" w:styleId="TableHeading1">
    <w:name w:val="Table Heading 1"/>
    <w:link w:val="TableHeading1Char"/>
    <w:qFormat/>
    <w:rsid w:val="005079A5"/>
    <w:pPr>
      <w:spacing w:before="120" w:after="120"/>
    </w:pPr>
    <w:rPr>
      <w:rFonts w:ascii="Arial Bold" w:eastAsia="Times New Roman" w:hAnsi="Arial Bold" w:cs="Times New Roman"/>
      <w:b/>
      <w:bCs/>
      <w:noProof/>
    </w:rPr>
  </w:style>
  <w:style w:type="paragraph" w:customStyle="1" w:styleId="TableHeading2">
    <w:name w:val="Table Heading 2"/>
    <w:link w:val="TableHeading2Char"/>
    <w:rsid w:val="00E83FBC"/>
    <w:pPr>
      <w:framePr w:hSpace="180" w:wrap="around" w:vAnchor="text" w:hAnchor="text" w:y="1"/>
      <w:spacing w:before="240" w:after="240"/>
      <w:suppressOverlap/>
    </w:pPr>
    <w:rPr>
      <w:rFonts w:eastAsia="Times New Roman" w:cs="Times New Roman"/>
      <w:b/>
      <w:szCs w:val="20"/>
    </w:rPr>
  </w:style>
  <w:style w:type="character" w:customStyle="1" w:styleId="TableHeading1Char">
    <w:name w:val="Table Heading 1 Char"/>
    <w:basedOn w:val="DefaultParagraphFont"/>
    <w:link w:val="TableHeading1"/>
    <w:rsid w:val="005079A5"/>
    <w:rPr>
      <w:rFonts w:ascii="Arial Bold" w:eastAsia="Times New Roman" w:hAnsi="Arial Bold" w:cs="Times New Roman"/>
      <w:b/>
      <w:bCs/>
      <w:noProof/>
    </w:rPr>
  </w:style>
  <w:style w:type="character" w:customStyle="1" w:styleId="TableHeading2Char">
    <w:name w:val="Table Heading 2 Char"/>
    <w:basedOn w:val="DefaultParagraphFont"/>
    <w:link w:val="TableHeading2"/>
    <w:rsid w:val="00E83FBC"/>
    <w:rPr>
      <w:rFonts w:eastAsia="Times New Roman" w:cs="Times New Roman"/>
      <w:b/>
      <w:szCs w:val="20"/>
    </w:rPr>
  </w:style>
  <w:style w:type="paragraph" w:customStyle="1" w:styleId="DecimalAligned">
    <w:name w:val="Decimal Aligned"/>
    <w:basedOn w:val="Normal"/>
    <w:uiPriority w:val="40"/>
    <w:qFormat/>
    <w:rsid w:val="008005B5"/>
    <w:pPr>
      <w:tabs>
        <w:tab w:val="decimal" w:pos="360"/>
      </w:tabs>
      <w:spacing w:line="276" w:lineRule="auto"/>
    </w:pPr>
    <w:rPr>
      <w:rFonts w:asciiTheme="minorHAnsi" w:hAnsiTheme="minorHAnsi" w:cs="Times New Roman"/>
      <w:lang w:val="en-US"/>
    </w:rPr>
  </w:style>
  <w:style w:type="paragraph" w:styleId="FootnoteText">
    <w:name w:val="footnote text"/>
    <w:basedOn w:val="Normal"/>
    <w:link w:val="FootnoteTextChar"/>
    <w:uiPriority w:val="99"/>
    <w:unhideWhenUsed/>
    <w:rsid w:val="008005B5"/>
    <w:pPr>
      <w:spacing w:after="0" w:line="240" w:lineRule="auto"/>
    </w:pPr>
    <w:rPr>
      <w:rFonts w:asciiTheme="minorHAnsi" w:hAnsiTheme="minorHAnsi" w:cs="Times New Roman"/>
      <w:sz w:val="20"/>
      <w:szCs w:val="20"/>
      <w:lang w:val="en-US"/>
    </w:rPr>
  </w:style>
  <w:style w:type="character" w:customStyle="1" w:styleId="FootnoteTextChar">
    <w:name w:val="Footnote Text Char"/>
    <w:basedOn w:val="DefaultParagraphFont"/>
    <w:link w:val="FootnoteText"/>
    <w:uiPriority w:val="99"/>
    <w:rsid w:val="008005B5"/>
    <w:rPr>
      <w:rFonts w:asciiTheme="minorHAnsi" w:hAnsiTheme="minorHAnsi" w:cs="Times New Roman"/>
      <w:sz w:val="20"/>
      <w:szCs w:val="20"/>
      <w:lang w:val="en-US"/>
    </w:rPr>
  </w:style>
  <w:style w:type="character" w:styleId="SubtleEmphasis">
    <w:name w:val="Subtle Emphasis"/>
    <w:basedOn w:val="DefaultParagraphFont"/>
    <w:uiPriority w:val="19"/>
    <w:qFormat/>
    <w:rsid w:val="008005B5"/>
    <w:rPr>
      <w:i/>
      <w:iCs/>
    </w:rPr>
  </w:style>
  <w:style w:type="table" w:styleId="LightShading-Accent1">
    <w:name w:val="Light Shading Accent 1"/>
    <w:basedOn w:val="TableNormal"/>
    <w:uiPriority w:val="60"/>
    <w:rsid w:val="008005B5"/>
    <w:rPr>
      <w:rFonts w:asciiTheme="minorHAnsi" w:hAnsiTheme="minorHAnsi"/>
      <w:color w:val="5F5F5F" w:themeColor="accent1" w:themeShade="BF"/>
      <w:lang w:val="en-US"/>
    </w:rPr>
    <w:tblPr>
      <w:tblStyleRowBandSize w:val="1"/>
      <w:tblStyleColBandSize w:val="1"/>
      <w:tblBorders>
        <w:top w:val="single" w:sz="8" w:space="0" w:color="7F7F7F" w:themeColor="accent1"/>
        <w:bottom w:val="single" w:sz="8" w:space="0" w:color="7F7F7F" w:themeColor="accent1"/>
      </w:tblBorders>
    </w:tblPr>
    <w:tblStylePr w:type="firstRow">
      <w:pPr>
        <w:spacing w:before="0" w:after="0" w:line="240" w:lineRule="auto"/>
      </w:pPr>
      <w:rPr>
        <w:b/>
        <w:bCs/>
      </w:rPr>
      <w:tblPr/>
      <w:tcPr>
        <w:tcBorders>
          <w:top w:val="single" w:sz="8" w:space="0" w:color="7F7F7F" w:themeColor="accent1"/>
          <w:left w:val="nil"/>
          <w:bottom w:val="single" w:sz="8" w:space="0" w:color="7F7F7F" w:themeColor="accent1"/>
          <w:right w:val="nil"/>
          <w:insideH w:val="nil"/>
          <w:insideV w:val="nil"/>
        </w:tcBorders>
      </w:tcPr>
    </w:tblStylePr>
    <w:tblStylePr w:type="lastRow">
      <w:pPr>
        <w:spacing w:before="0" w:after="0" w:line="240" w:lineRule="auto"/>
      </w:pPr>
      <w:rPr>
        <w:b/>
        <w:bCs/>
      </w:rPr>
      <w:tblPr/>
      <w:tcPr>
        <w:tcBorders>
          <w:top w:val="single" w:sz="8" w:space="0" w:color="7F7F7F" w:themeColor="accent1"/>
          <w:left w:val="nil"/>
          <w:bottom w:val="single" w:sz="8" w:space="0" w:color="7F7F7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1" w:themeFillTint="3F"/>
      </w:tcPr>
    </w:tblStylePr>
    <w:tblStylePr w:type="band1Horz">
      <w:tblPr/>
      <w:tcPr>
        <w:tcBorders>
          <w:left w:val="nil"/>
          <w:right w:val="nil"/>
          <w:insideH w:val="nil"/>
          <w:insideV w:val="nil"/>
        </w:tcBorders>
        <w:shd w:val="clear" w:color="auto" w:fill="DFDFDF" w:themeFill="accent1" w:themeFillTint="3F"/>
      </w:tcPr>
    </w:tblStylePr>
  </w:style>
  <w:style w:type="table" w:customStyle="1" w:styleId="TableGrid1">
    <w:name w:val="Table Grid1"/>
    <w:basedOn w:val="TableNormal"/>
    <w:next w:val="TableGrid"/>
    <w:uiPriority w:val="59"/>
    <w:rsid w:val="009D7D9A"/>
    <w:rPr>
      <w:rFonts w:eastAsia="MS Mincho"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0A7301"/>
    <w:tblPr>
      <w:tblStyleRowBandSize w:val="1"/>
      <w:tblStyleColBandSize w:val="1"/>
      <w:tblBorders>
        <w:top w:val="single" w:sz="4" w:space="0" w:color="69BBFF" w:themeColor="accent6" w:themeTint="66"/>
        <w:left w:val="single" w:sz="4" w:space="0" w:color="69BBFF" w:themeColor="accent6" w:themeTint="66"/>
        <w:bottom w:val="single" w:sz="4" w:space="0" w:color="69BBFF" w:themeColor="accent6" w:themeTint="66"/>
        <w:right w:val="single" w:sz="4" w:space="0" w:color="69BBFF" w:themeColor="accent6" w:themeTint="66"/>
        <w:insideH w:val="single" w:sz="4" w:space="0" w:color="69BBFF" w:themeColor="accent6" w:themeTint="66"/>
        <w:insideV w:val="single" w:sz="4" w:space="0" w:color="69BBFF" w:themeColor="accent6" w:themeTint="66"/>
      </w:tblBorders>
    </w:tblPr>
    <w:tblStylePr w:type="firstRow">
      <w:rPr>
        <w:b/>
        <w:bCs/>
      </w:rPr>
      <w:tblPr/>
      <w:tcPr>
        <w:tcBorders>
          <w:bottom w:val="single" w:sz="12" w:space="0" w:color="1E99FF" w:themeColor="accent6" w:themeTint="99"/>
        </w:tcBorders>
      </w:tcPr>
    </w:tblStylePr>
    <w:tblStylePr w:type="lastRow">
      <w:rPr>
        <w:b/>
        <w:bCs/>
      </w:rPr>
      <w:tblPr/>
      <w:tcPr>
        <w:tcBorders>
          <w:top w:val="double" w:sz="2" w:space="0" w:color="1E99FF" w:themeColor="accent6" w:themeTint="99"/>
        </w:tcBorders>
      </w:tcPr>
    </w:tblStylePr>
    <w:tblStylePr w:type="firstCol">
      <w:rPr>
        <w:b/>
        <w:bCs/>
      </w:rPr>
    </w:tblStylePr>
    <w:tblStylePr w:type="lastCol">
      <w:rPr>
        <w:b/>
        <w:bCs/>
      </w:rPr>
    </w:tblStylePr>
  </w:style>
  <w:style w:type="table" w:customStyle="1" w:styleId="DPCVerticalTable">
    <w:name w:val="DPC Vertical Table"/>
    <w:basedOn w:val="TableNormal"/>
    <w:uiPriority w:val="99"/>
    <w:rsid w:val="00143C32"/>
    <w:pPr>
      <w:spacing w:before="120" w:after="120"/>
    </w:pPr>
    <w:tblPr>
      <w:tblBorders>
        <w:top w:val="single" w:sz="4" w:space="0" w:color="auto"/>
        <w:bottom w:val="single" w:sz="6" w:space="0" w:color="auto"/>
        <w:insideV w:val="single" w:sz="6" w:space="0" w:color="BFBFBF" w:themeColor="background1" w:themeShade="BF"/>
      </w:tblBorders>
    </w:tblPr>
    <w:tcPr>
      <w:shd w:val="clear" w:color="auto" w:fill="auto"/>
    </w:tcPr>
    <w:tblStylePr w:type="firstRow">
      <w:pPr>
        <w:wordWrap/>
        <w:spacing w:beforeLines="0" w:before="120" w:beforeAutospacing="0" w:afterLines="0" w:after="120" w:afterAutospacing="0"/>
        <w:jc w:val="left"/>
      </w:pPr>
      <w:rPr>
        <w:rFonts w:ascii="Arial" w:hAnsi="Arial"/>
        <w:b/>
        <w:color w:val="000000" w:themeColor="text1"/>
        <w:sz w:val="22"/>
      </w:rPr>
      <w:tblPr/>
      <w:tcPr>
        <w:tcBorders>
          <w:top w:val="single" w:sz="12" w:space="0" w:color="auto"/>
          <w:bottom w:val="nil"/>
        </w:tcBorders>
        <w:vAlign w:val="center"/>
      </w:tcPr>
    </w:tblStylePr>
    <w:tblStylePr w:type="lastRow">
      <w:tblPr/>
      <w:tcPr>
        <w:tcBorders>
          <w:bottom w:val="nil"/>
        </w:tcBorders>
      </w:tcPr>
    </w:tblStylePr>
    <w:tblStylePr w:type="firstCol">
      <w:rPr>
        <w:rFonts w:ascii="Arial" w:hAnsi="Arial"/>
        <w:b/>
        <w:sz w:val="22"/>
      </w:rPr>
    </w:tblStylePr>
  </w:style>
  <w:style w:type="table" w:styleId="TableTheme">
    <w:name w:val="Table Theme"/>
    <w:basedOn w:val="TableNormal"/>
    <w:uiPriority w:val="99"/>
    <w:semiHidden/>
    <w:unhideWhenUsed/>
    <w:rsid w:val="008915D1"/>
    <w:pPr>
      <w:spacing w:after="20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99"/>
    <w:rsid w:val="00417C9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DPCTable2">
    <w:name w:val="DPC Table 2"/>
    <w:basedOn w:val="TableTheme"/>
    <w:uiPriority w:val="99"/>
    <w:rsid w:val="00084360"/>
    <w:pPr>
      <w:spacing w:before="80" w:after="80" w:line="240" w:lineRule="auto"/>
    </w:pPr>
    <w:rPr>
      <w:color w:val="000000" w:themeColor="text1"/>
      <w:szCs w:val="20"/>
      <w:lang w:eastAsia="en-AU"/>
    </w:rPr>
    <w:tblPr>
      <w:tblBorders>
        <w:top w:val="single" w:sz="12" w:space="0" w:color="auto"/>
        <w:left w:val="none" w:sz="0" w:space="0" w:color="auto"/>
        <w:bottom w:val="single" w:sz="8" w:space="0" w:color="auto"/>
        <w:right w:val="none" w:sz="0" w:space="0" w:color="auto"/>
        <w:insideH w:val="single" w:sz="4" w:space="0" w:color="BFBFBF" w:themeColor="background1" w:themeShade="BF"/>
        <w:insideV w:val="none" w:sz="0" w:space="0" w:color="auto"/>
      </w:tblBorders>
    </w:tblPr>
    <w:tblStylePr w:type="firstRow">
      <w:pPr>
        <w:wordWrap/>
        <w:spacing w:beforeLines="0" w:before="120" w:beforeAutospacing="0" w:afterLines="0" w:after="120" w:afterAutospacing="0" w:line="240" w:lineRule="auto"/>
        <w:jc w:val="left"/>
        <w:outlineLvl w:val="9"/>
      </w:pPr>
      <w:rPr>
        <w:rFonts w:ascii="Arial" w:hAnsi="Arial"/>
        <w:b/>
        <w:sz w:val="22"/>
      </w:rPr>
      <w:tblPr/>
      <w:tcPr>
        <w:tcBorders>
          <w:top w:val="single" w:sz="12" w:space="0" w:color="auto"/>
          <w:left w:val="nil"/>
          <w:bottom w:val="single" w:sz="4" w:space="0" w:color="BFBFBF" w:themeColor="background1" w:themeShade="BF"/>
          <w:right w:val="nil"/>
          <w:insideH w:val="nil"/>
          <w:insideV w:val="nil"/>
          <w:tl2br w:val="nil"/>
          <w:tr2bl w:val="nil"/>
        </w:tcBorders>
        <w:shd w:val="clear" w:color="auto" w:fill="E5E5E5" w:themeFill="accent4" w:themeFillTint="33"/>
      </w:tcPr>
    </w:tblStylePr>
  </w:style>
  <w:style w:type="table" w:customStyle="1" w:styleId="DPCTable1">
    <w:name w:val="DPC Table 1"/>
    <w:basedOn w:val="TableNormal"/>
    <w:uiPriority w:val="99"/>
    <w:rsid w:val="00084360"/>
    <w:pPr>
      <w:spacing w:before="80" w:after="80"/>
    </w:pPr>
    <w:tblPr>
      <w:tblBorders>
        <w:top w:val="single" w:sz="8" w:space="0" w:color="BFBFBF" w:themeColor="background1" w:themeShade="BF"/>
        <w:bottom w:val="single" w:sz="8" w:space="0" w:color="auto"/>
        <w:insideH w:val="single" w:sz="4" w:space="0" w:color="BFBFBF" w:themeColor="background1" w:themeShade="BF"/>
      </w:tblBorders>
    </w:tblPr>
    <w:tblStylePr w:type="firstRow">
      <w:rPr>
        <w:rFonts w:ascii="Arial" w:hAnsi="Arial"/>
        <w:b/>
        <w:sz w:val="22"/>
      </w:rPr>
      <w:tblPr/>
      <w:tcPr>
        <w:tcBorders>
          <w:top w:val="single" w:sz="12" w:space="0" w:color="auto"/>
          <w:left w:val="nil"/>
          <w:bottom w:val="nil"/>
          <w:right w:val="nil"/>
          <w:insideH w:val="nil"/>
          <w:insideV w:val="nil"/>
        </w:tcBorders>
      </w:tcPr>
    </w:tblStylePr>
  </w:style>
  <w:style w:type="paragraph" w:customStyle="1" w:styleId="ContactsBlock">
    <w:name w:val="Contacts Block"/>
    <w:basedOn w:val="Normal"/>
    <w:link w:val="ContactsBlockChar"/>
    <w:qFormat/>
    <w:rsid w:val="00084360"/>
    <w:pPr>
      <w:spacing w:after="60" w:line="240" w:lineRule="auto"/>
    </w:pPr>
    <w:rPr>
      <w:rFonts w:eastAsia="MS Mincho" w:cs="Times New Roman"/>
      <w:sz w:val="20"/>
      <w:szCs w:val="20"/>
    </w:rPr>
  </w:style>
  <w:style w:type="character" w:customStyle="1" w:styleId="ContactsBlockChar">
    <w:name w:val="Contacts Block Char"/>
    <w:basedOn w:val="DefaultParagraphFont"/>
    <w:link w:val="ContactsBlock"/>
    <w:rsid w:val="00084360"/>
    <w:rPr>
      <w:rFonts w:eastAsia="MS Mincho" w:cs="Times New Roman"/>
      <w:sz w:val="20"/>
      <w:szCs w:val="20"/>
    </w:rPr>
  </w:style>
  <w:style w:type="paragraph" w:customStyle="1" w:styleId="TableTitle">
    <w:name w:val="Table Title"/>
    <w:link w:val="TableTitleChar"/>
    <w:qFormat/>
    <w:rsid w:val="00084360"/>
    <w:pPr>
      <w:spacing w:after="120"/>
    </w:pPr>
    <w:rPr>
      <w:rFonts w:eastAsia="Times New Roman" w:cs="Times New Roman"/>
      <w:b/>
      <w:bCs/>
      <w:noProof/>
      <w:color w:val="404040" w:themeColor="text1" w:themeTint="BF"/>
      <w:sz w:val="24"/>
    </w:rPr>
  </w:style>
  <w:style w:type="table" w:customStyle="1" w:styleId="TableGrid2">
    <w:name w:val="Table Grid2"/>
    <w:basedOn w:val="TableNormal"/>
    <w:next w:val="TableGrid"/>
    <w:uiPriority w:val="59"/>
    <w:rsid w:val="00084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itleChar">
    <w:name w:val="Table Title Char"/>
    <w:basedOn w:val="DefaultParagraphFont"/>
    <w:link w:val="TableTitle"/>
    <w:rsid w:val="00084360"/>
    <w:rPr>
      <w:rFonts w:eastAsia="Times New Roman" w:cs="Times New Roman"/>
      <w:b/>
      <w:bCs/>
      <w:noProof/>
      <w:color w:val="404040" w:themeColor="text1" w:themeTint="BF"/>
      <w:sz w:val="24"/>
    </w:rPr>
  </w:style>
  <w:style w:type="paragraph" w:customStyle="1" w:styleId="Pagenumbers">
    <w:name w:val="Page numbers"/>
    <w:basedOn w:val="Normal"/>
    <w:link w:val="PagenumbersChar"/>
    <w:qFormat/>
    <w:rsid w:val="00084360"/>
    <w:pPr>
      <w:spacing w:after="0" w:line="240" w:lineRule="auto"/>
    </w:pPr>
    <w:rPr>
      <w:sz w:val="18"/>
      <w:szCs w:val="18"/>
    </w:rPr>
  </w:style>
  <w:style w:type="character" w:customStyle="1" w:styleId="PagenumbersChar">
    <w:name w:val="Page numbers Char"/>
    <w:basedOn w:val="DefaultParagraphFont"/>
    <w:link w:val="Pagenumbers"/>
    <w:rsid w:val="00084360"/>
    <w:rPr>
      <w:sz w:val="18"/>
      <w:szCs w:val="18"/>
    </w:rPr>
  </w:style>
  <w:style w:type="paragraph" w:customStyle="1" w:styleId="TableText">
    <w:name w:val="Table Text"/>
    <w:link w:val="TableTextChar"/>
    <w:qFormat/>
    <w:rsid w:val="00084360"/>
    <w:pPr>
      <w:spacing w:before="80" w:after="80"/>
    </w:pPr>
    <w:rPr>
      <w:color w:val="000000" w:themeColor="text1"/>
      <w:szCs w:val="20"/>
      <w:lang w:eastAsia="en-AU"/>
    </w:rPr>
  </w:style>
  <w:style w:type="character" w:customStyle="1" w:styleId="TableTextChar">
    <w:name w:val="Table Text Char"/>
    <w:basedOn w:val="DefaultParagraphFont"/>
    <w:link w:val="TableText"/>
    <w:rsid w:val="00084360"/>
    <w:rPr>
      <w:color w:val="000000" w:themeColor="text1"/>
      <w:szCs w:val="20"/>
      <w:lang w:eastAsia="en-AU"/>
    </w:rPr>
  </w:style>
  <w:style w:type="character" w:customStyle="1" w:styleId="ListParagraphChar">
    <w:name w:val="List Paragraph Char"/>
    <w:aliases w:val="Bullet Point List Char"/>
    <w:link w:val="ListParagraph"/>
    <w:uiPriority w:val="34"/>
    <w:rsid w:val="00710B59"/>
    <w:rPr>
      <w:u w:val="single"/>
    </w:rPr>
  </w:style>
  <w:style w:type="character" w:styleId="FootnoteReference">
    <w:name w:val="footnote reference"/>
    <w:basedOn w:val="DefaultParagraphFont"/>
    <w:uiPriority w:val="99"/>
    <w:semiHidden/>
    <w:unhideWhenUsed/>
    <w:rsid w:val="009D7060"/>
    <w:rPr>
      <w:vertAlign w:val="superscript"/>
    </w:rPr>
  </w:style>
  <w:style w:type="paragraph" w:customStyle="1" w:styleId="-Normal1-">
    <w:name w:val="-Normal1-"/>
    <w:autoRedefine/>
    <w:qFormat/>
    <w:rsid w:val="009D7060"/>
    <w:pPr>
      <w:ind w:left="29" w:right="34"/>
    </w:pPr>
    <w:rPr>
      <w:rFonts w:eastAsia="Times New Roman" w:cs="Arial"/>
      <w:color w:val="000000" w:themeColor="text1"/>
      <w:sz w:val="20"/>
      <w:lang w:eastAsia="en-AU"/>
    </w:rPr>
  </w:style>
  <w:style w:type="character" w:styleId="FollowedHyperlink">
    <w:name w:val="FollowedHyperlink"/>
    <w:basedOn w:val="DefaultParagraphFont"/>
    <w:uiPriority w:val="98"/>
    <w:semiHidden/>
    <w:unhideWhenUsed/>
    <w:rsid w:val="00133879"/>
    <w:rPr>
      <w:color w:val="7F7F7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5912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pc.sa.gov.au/digital/cloud" TargetMode="External"/><Relationship Id="rId13" Type="http://schemas.openxmlformats.org/officeDocument/2006/relationships/hyperlink" Target="https://dpc.sa.gov.au/digital/cloud" TargetMode="External"/><Relationship Id="rId18" Type="http://schemas.openxmlformats.org/officeDocument/2006/relationships/image" Target="http://i.creativecommons.org/l/by/2.5/au/88x31.png"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dpc.sa.gov.au/digital/ucd" TargetMode="External"/><Relationship Id="rId12" Type="http://schemas.openxmlformats.org/officeDocument/2006/relationships/hyperlink" Target="https://dpc.sa.gov.au/digital/security" TargetMode="Externa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pc.sa.gov.au/digital/cloud"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pc.sa.gov.au/digital/security"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pc.sa.gov.au/digital/ucd" TargetMode="External"/><Relationship Id="rId23" Type="http://schemas.openxmlformats.org/officeDocument/2006/relationships/footer" Target="footer2.xml"/><Relationship Id="rId10" Type="http://schemas.openxmlformats.org/officeDocument/2006/relationships/hyperlink" Target="https://dpc.sa.gov.au/digital/security" TargetMode="External"/><Relationship Id="rId19" Type="http://schemas.openxmlformats.org/officeDocument/2006/relationships/hyperlink" Target="http://creativecommons.org/licenses/by/4.0/" TargetMode="External"/><Relationship Id="rId4" Type="http://schemas.openxmlformats.org/officeDocument/2006/relationships/webSettings" Target="webSettings.xml"/><Relationship Id="rId9" Type="http://schemas.openxmlformats.org/officeDocument/2006/relationships/hyperlink" Target="https://dpc.sa.gov.au/digital/security" TargetMode="External"/><Relationship Id="rId14" Type="http://schemas.openxmlformats.org/officeDocument/2006/relationships/hyperlink" Target="https://bettertogether.sa.gov.au/"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4B88"/>
      </a:dk2>
      <a:lt2>
        <a:srgbClr val="FFFFFF"/>
      </a:lt2>
      <a:accent1>
        <a:srgbClr val="7F7F7F"/>
      </a:accent1>
      <a:accent2>
        <a:srgbClr val="3F3F3F"/>
      </a:accent2>
      <a:accent3>
        <a:srgbClr val="595959"/>
      </a:accent3>
      <a:accent4>
        <a:srgbClr val="7F7F7F"/>
      </a:accent4>
      <a:accent5>
        <a:srgbClr val="7F7F7F"/>
      </a:accent5>
      <a:accent6>
        <a:srgbClr val="004B88"/>
      </a:accent6>
      <a:hlink>
        <a:srgbClr val="004B88"/>
      </a:hlink>
      <a:folHlink>
        <a:srgbClr val="7F7F7F"/>
      </a:folHlink>
    </a:clrScheme>
    <a:fontScheme name="D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2747</Words>
  <Characters>15660</Characters>
  <Application>Microsoft Office Word</Application>
  <DocSecurity>0</DocSecurity>
  <Lines>130</Lines>
  <Paragraphs>36</Paragraphs>
  <ScaleCrop>false</ScaleCrop>
  <Company/>
  <LinksUpToDate>false</LinksUpToDate>
  <CharactersWithSpaces>18371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2020-08-24T02:43:00Z</dcterms:created>
  <dcterms:modified xsi:type="dcterms:W3CDTF">2020-08-24T02:43:00Z</dcterms:modified>
</cp:coreProperties>
</file>